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661CE" w14:textId="77777777" w:rsidR="00845E1F" w:rsidRDefault="00845E1F" w:rsidP="00AF7580">
      <w:pPr>
        <w:pStyle w:val="SupenEncabezado"/>
        <w:spacing w:line="276" w:lineRule="auto"/>
        <w:rPr>
          <w:rStyle w:val="SupenEncabezadoCar"/>
        </w:rPr>
      </w:pPr>
    </w:p>
    <w:p w14:paraId="0A03ABAB" w14:textId="5AD20929" w:rsidR="00A4778B" w:rsidRPr="005D5420" w:rsidRDefault="00B44B04" w:rsidP="00AF7580">
      <w:pPr>
        <w:pStyle w:val="SupenEncabezado"/>
        <w:spacing w:line="276" w:lineRule="auto"/>
        <w:rPr>
          <w:rStyle w:val="SupenEncabezadoCar"/>
          <w:b/>
        </w:rPr>
      </w:pPr>
      <w:sdt>
        <w:sdtPr>
          <w:rPr>
            <w:rStyle w:val="SupenEncabezadoCar"/>
            <w:b/>
          </w:rPr>
          <w:alias w:val="Código"/>
          <w:tag w:val="A"/>
          <w:id w:val="1991359848"/>
          <w:lock w:val="sdtLocked"/>
          <w:placeholder>
            <w:docPart w:val="87303AD4F4C04B8EB334AB520C52BBFD"/>
          </w:placeholder>
          <w:text/>
        </w:sdtPr>
        <w:sdtEndPr>
          <w:rPr>
            <w:rStyle w:val="SupenEncabezadoCar"/>
          </w:rPr>
        </w:sdtEndPr>
        <w:sdtContent>
          <w:r w:rsidR="008C679F" w:rsidRPr="005D5420">
            <w:rPr>
              <w:rStyle w:val="SupenEncabezadoCar"/>
              <w:b/>
            </w:rPr>
            <w:t>SP-A-211-2019</w:t>
          </w:r>
        </w:sdtContent>
      </w:sdt>
    </w:p>
    <w:p w14:paraId="704555B3" w14:textId="6DDB2221" w:rsidR="001F2D1F" w:rsidRDefault="001F2D1F" w:rsidP="001F2D1F">
      <w:pPr>
        <w:spacing w:after="160" w:line="276" w:lineRule="auto"/>
        <w:rPr>
          <w:b/>
        </w:rPr>
      </w:pPr>
    </w:p>
    <w:p w14:paraId="0AB937D0" w14:textId="77777777" w:rsidR="00845E1F" w:rsidRDefault="00845E1F" w:rsidP="001F2D1F">
      <w:pPr>
        <w:spacing w:after="160" w:line="276" w:lineRule="auto"/>
        <w:rPr>
          <w:b/>
        </w:rPr>
      </w:pPr>
    </w:p>
    <w:p w14:paraId="4D7FE63D" w14:textId="1947BC66" w:rsidR="00A20581" w:rsidRPr="00F67493" w:rsidRDefault="001F2D1F" w:rsidP="00A56D47">
      <w:pPr>
        <w:spacing w:after="160"/>
        <w:jc w:val="center"/>
        <w:rPr>
          <w:b/>
          <w:color w:val="FF0000"/>
        </w:rPr>
      </w:pPr>
      <w:r w:rsidRPr="001F2D1F">
        <w:rPr>
          <w:b/>
        </w:rPr>
        <w:t>CONFECCIÓN, ENVÍO Y PUBLICACIÓN DE LA INFORMACIÓN</w:t>
      </w:r>
      <w:r>
        <w:rPr>
          <w:b/>
        </w:rPr>
        <w:t xml:space="preserve"> </w:t>
      </w:r>
      <w:r w:rsidRPr="001F2D1F">
        <w:rPr>
          <w:b/>
        </w:rPr>
        <w:t>REQUERIDA A LAS ENTIDADES SUPERVISADAS</w:t>
      </w:r>
    </w:p>
    <w:p w14:paraId="3FB7EA96" w14:textId="77777777" w:rsidR="00A31557" w:rsidRDefault="00A31557" w:rsidP="00AF7580">
      <w:pPr>
        <w:spacing w:line="276" w:lineRule="auto"/>
        <w:jc w:val="both"/>
      </w:pPr>
    </w:p>
    <w:p w14:paraId="4DC49D4D" w14:textId="0F7FC602" w:rsidR="00291B81" w:rsidRDefault="00291B81" w:rsidP="00AF7580">
      <w:pPr>
        <w:spacing w:line="276" w:lineRule="auto"/>
        <w:jc w:val="both"/>
      </w:pPr>
      <w:r w:rsidRPr="00BD0C19">
        <w:t xml:space="preserve">Superintendencia de Pensiones, al ser las </w:t>
      </w:r>
      <w:r w:rsidR="00D42282">
        <w:t>once</w:t>
      </w:r>
      <w:r w:rsidRPr="00BD0C19">
        <w:t xml:space="preserve"> horas </w:t>
      </w:r>
      <w:r w:rsidR="00D42282">
        <w:t>del nueve de setiembre del dos mil diecinueve</w:t>
      </w:r>
      <w:r w:rsidRPr="00BD0C19">
        <w:t>.</w:t>
      </w:r>
    </w:p>
    <w:p w14:paraId="33DC0249" w14:textId="77777777" w:rsidR="000D7C5F" w:rsidRDefault="000D7C5F" w:rsidP="00AF7580">
      <w:pPr>
        <w:spacing w:line="276" w:lineRule="auto"/>
        <w:jc w:val="both"/>
      </w:pPr>
    </w:p>
    <w:p w14:paraId="469AE627" w14:textId="77777777" w:rsidR="00A7032A" w:rsidRPr="00807FCA" w:rsidRDefault="00A7032A" w:rsidP="00A7032A">
      <w:pPr>
        <w:pStyle w:val="Textoindependiente"/>
      </w:pPr>
    </w:p>
    <w:p w14:paraId="3F7C3152" w14:textId="00194262" w:rsidR="00A7032A" w:rsidRDefault="00A7032A" w:rsidP="00A7032A">
      <w:pPr>
        <w:pStyle w:val="Textoindependiente"/>
      </w:pPr>
      <w:r w:rsidRPr="00807FCA">
        <w:t>CONSIDERANDO:</w:t>
      </w:r>
    </w:p>
    <w:p w14:paraId="64145C67" w14:textId="77777777" w:rsidR="00A31557" w:rsidRPr="00807FCA" w:rsidRDefault="00A31557" w:rsidP="00A31557">
      <w:pPr>
        <w:pStyle w:val="Textoindependiente"/>
        <w:jc w:val="left"/>
      </w:pPr>
    </w:p>
    <w:p w14:paraId="1A7CF7C0" w14:textId="77777777" w:rsidR="00A7032A" w:rsidRPr="001A24B8" w:rsidRDefault="00A7032A" w:rsidP="00A7032A">
      <w:pPr>
        <w:spacing w:line="240" w:lineRule="auto"/>
        <w:rPr>
          <w:lang w:val="es-CR"/>
        </w:rPr>
      </w:pPr>
    </w:p>
    <w:p w14:paraId="0F7BE61A" w14:textId="094A2AC4" w:rsidR="009C7F86" w:rsidRPr="006A6B7D" w:rsidRDefault="006A6B7D" w:rsidP="00417762">
      <w:pPr>
        <w:pStyle w:val="Prrafodelista"/>
        <w:numPr>
          <w:ilvl w:val="0"/>
          <w:numId w:val="11"/>
        </w:numPr>
        <w:ind w:left="360"/>
        <w:jc w:val="both"/>
        <w:rPr>
          <w:snapToGrid w:val="0"/>
          <w:color w:val="000000" w:themeColor="text1"/>
          <w:lang w:val="es-CR"/>
        </w:rPr>
      </w:pPr>
      <w:r>
        <w:rPr>
          <w:color w:val="000000" w:themeColor="text1"/>
          <w:szCs w:val="22"/>
          <w:lang w:val="es-ES_tradnl"/>
        </w:rPr>
        <w:t>E</w:t>
      </w:r>
      <w:r w:rsidR="002013F8" w:rsidRPr="006A6B7D">
        <w:rPr>
          <w:color w:val="000000" w:themeColor="text1"/>
          <w:szCs w:val="22"/>
          <w:lang w:val="es-ES_tradnl"/>
        </w:rPr>
        <w:t xml:space="preserve">l inciso g) del artículo 42 de la Ley de Protección al Trabajador, </w:t>
      </w:r>
      <w:r>
        <w:rPr>
          <w:color w:val="000000" w:themeColor="text1"/>
          <w:szCs w:val="22"/>
          <w:lang w:val="es-ES_tradnl"/>
        </w:rPr>
        <w:t xml:space="preserve">establece la </w:t>
      </w:r>
      <w:r w:rsidR="002013F8" w:rsidRPr="006A6B7D">
        <w:rPr>
          <w:color w:val="000000" w:themeColor="text1"/>
          <w:szCs w:val="22"/>
          <w:lang w:val="es-ES_tradnl"/>
        </w:rPr>
        <w:t xml:space="preserve">obligación de las entidades autorizadas </w:t>
      </w:r>
      <w:r>
        <w:rPr>
          <w:color w:val="000000" w:themeColor="text1"/>
          <w:szCs w:val="22"/>
          <w:lang w:val="es-ES_tradnl"/>
        </w:rPr>
        <w:t xml:space="preserve">de </w:t>
      </w:r>
      <w:r w:rsidR="002013F8" w:rsidRPr="006A6B7D">
        <w:rPr>
          <w:color w:val="000000" w:themeColor="text1"/>
          <w:szCs w:val="22"/>
          <w:lang w:val="es-ES_tradnl"/>
        </w:rPr>
        <w:t xml:space="preserve">suministrar a la Superintendencia de Pensiones la información que esta requiera, dentro del plazo y condiciones dispuestos al efecto. Correlativamente, el inciso r) del artículo 38 de la </w:t>
      </w:r>
      <w:r w:rsidR="006B71C7" w:rsidRPr="006A6B7D">
        <w:rPr>
          <w:color w:val="000000" w:themeColor="text1"/>
          <w:szCs w:val="22"/>
          <w:lang w:val="es-ES_tradnl"/>
        </w:rPr>
        <w:t>L</w:t>
      </w:r>
      <w:r w:rsidR="002013F8" w:rsidRPr="006A6B7D">
        <w:rPr>
          <w:color w:val="000000" w:themeColor="text1"/>
          <w:szCs w:val="22"/>
          <w:lang w:val="es-ES_tradnl"/>
        </w:rPr>
        <w:t>ey 7523, establece, como una potestad del Superintendente de Pensiones, dictar normas específicas sobre el contenido, la forma y periodicidad con que las entidades autorizadas deben proporcionar a la Superintendencia, información sobre su situación económica y financiera.</w:t>
      </w:r>
    </w:p>
    <w:p w14:paraId="5559A4BC" w14:textId="77777777" w:rsidR="00FC780D" w:rsidRPr="00756E05" w:rsidRDefault="00FC780D" w:rsidP="00756E05">
      <w:pPr>
        <w:rPr>
          <w:snapToGrid w:val="0"/>
          <w:color w:val="000000" w:themeColor="text1"/>
          <w:lang w:val="es-CR"/>
        </w:rPr>
      </w:pPr>
    </w:p>
    <w:p w14:paraId="10A07A03" w14:textId="1C6C07AE" w:rsidR="00A7032A" w:rsidRPr="00F44B86" w:rsidRDefault="00A7032A" w:rsidP="00417762">
      <w:pPr>
        <w:pStyle w:val="Prrafodelista"/>
        <w:numPr>
          <w:ilvl w:val="0"/>
          <w:numId w:val="11"/>
        </w:numPr>
        <w:ind w:left="360"/>
        <w:jc w:val="both"/>
        <w:rPr>
          <w:snapToGrid w:val="0"/>
          <w:color w:val="000000" w:themeColor="text1"/>
          <w:lang w:val="es-CR"/>
        </w:rPr>
      </w:pPr>
      <w:r w:rsidRPr="00FC780D">
        <w:rPr>
          <w:lang w:val="es-ES_tradnl"/>
        </w:rPr>
        <w:t xml:space="preserve">El artículo 29 del Reglamento de </w:t>
      </w:r>
      <w:r w:rsidR="001F0162" w:rsidRPr="00FC780D">
        <w:rPr>
          <w:lang w:val="es-ES_tradnl"/>
        </w:rPr>
        <w:t>I</w:t>
      </w:r>
      <w:r w:rsidRPr="00FC780D">
        <w:rPr>
          <w:lang w:val="es-ES_tradnl"/>
        </w:rPr>
        <w:t xml:space="preserve">nformación </w:t>
      </w:r>
      <w:r w:rsidR="001F0162" w:rsidRPr="00FC780D">
        <w:rPr>
          <w:lang w:val="es-ES_tradnl"/>
        </w:rPr>
        <w:t>Fi</w:t>
      </w:r>
      <w:r w:rsidRPr="00FC780D">
        <w:rPr>
          <w:lang w:val="es-ES_tradnl"/>
        </w:rPr>
        <w:t>nanciera señala</w:t>
      </w:r>
      <w:r w:rsidR="00474360" w:rsidRPr="00FC780D">
        <w:rPr>
          <w:lang w:val="es-ES_tradnl"/>
        </w:rPr>
        <w:t xml:space="preserve"> en lo que interesa</w:t>
      </w:r>
      <w:r w:rsidRPr="00FC780D">
        <w:rPr>
          <w:lang w:val="es-ES_tradnl"/>
        </w:rPr>
        <w:t xml:space="preserve"> que </w:t>
      </w:r>
      <w:r w:rsidRPr="00FC780D">
        <w:rPr>
          <w:i/>
          <w:lang w:val="es-ES_tradnl"/>
        </w:rPr>
        <w:t>“…las entidades reguladas por las otras superintendencias deberán considerar los formatos específicos que cada Superintendencia haya establecido.”</w:t>
      </w:r>
    </w:p>
    <w:p w14:paraId="4F94D525" w14:textId="77777777" w:rsidR="00F44B86" w:rsidRPr="00F44B86" w:rsidRDefault="00F44B86" w:rsidP="00417762">
      <w:pPr>
        <w:pStyle w:val="Prrafodelista"/>
        <w:ind w:left="360"/>
        <w:rPr>
          <w:snapToGrid w:val="0"/>
          <w:color w:val="000000" w:themeColor="text1"/>
          <w:lang w:val="es-CR"/>
        </w:rPr>
      </w:pPr>
    </w:p>
    <w:p w14:paraId="7020AA09" w14:textId="3EEFC019" w:rsidR="00A7032A" w:rsidRPr="002E047C" w:rsidRDefault="0055291E" w:rsidP="00417762">
      <w:pPr>
        <w:pStyle w:val="Prrafodelista"/>
        <w:numPr>
          <w:ilvl w:val="0"/>
          <w:numId w:val="11"/>
        </w:numPr>
        <w:ind w:left="360"/>
        <w:jc w:val="both"/>
        <w:rPr>
          <w:snapToGrid w:val="0"/>
          <w:color w:val="000000" w:themeColor="text1"/>
          <w:lang w:val="es-CR"/>
        </w:rPr>
      </w:pPr>
      <w:r w:rsidRPr="002E047C">
        <w:rPr>
          <w:lang w:val="es-ES_tradnl"/>
        </w:rPr>
        <w:t xml:space="preserve">Los </w:t>
      </w:r>
      <w:r w:rsidR="00A7032A" w:rsidRPr="002E047C">
        <w:rPr>
          <w:lang w:val="es-ES_tradnl"/>
        </w:rPr>
        <w:t>artículo</w:t>
      </w:r>
      <w:r w:rsidRPr="002E047C">
        <w:rPr>
          <w:lang w:val="es-ES_tradnl"/>
        </w:rPr>
        <w:t>s</w:t>
      </w:r>
      <w:r w:rsidR="00A7032A" w:rsidRPr="002E047C">
        <w:rPr>
          <w:lang w:val="es-ES_tradnl"/>
        </w:rPr>
        <w:t xml:space="preserve"> 36</w:t>
      </w:r>
      <w:r w:rsidRPr="002E047C">
        <w:rPr>
          <w:lang w:val="es-ES_tradnl"/>
        </w:rPr>
        <w:t xml:space="preserve"> y 37 del </w:t>
      </w:r>
      <w:r w:rsidR="00444C15">
        <w:rPr>
          <w:lang w:val="es-ES_tradnl"/>
        </w:rPr>
        <w:t>R</w:t>
      </w:r>
      <w:r w:rsidR="00A7032A" w:rsidRPr="002E047C">
        <w:rPr>
          <w:lang w:val="es-ES_tradnl"/>
        </w:rPr>
        <w:t xml:space="preserve">eglamento </w:t>
      </w:r>
      <w:r w:rsidR="00FC571F" w:rsidRPr="002E047C">
        <w:rPr>
          <w:lang w:val="es-ES_tradnl"/>
        </w:rPr>
        <w:t xml:space="preserve">antes indicado, establecen que </w:t>
      </w:r>
      <w:r w:rsidR="00A7032A" w:rsidRPr="002E047C">
        <w:rPr>
          <w:lang w:val="es-ES_tradnl"/>
        </w:rPr>
        <w:t>para las entidades individuales reguladas por SUPEN, la presentación de la información financiera</w:t>
      </w:r>
      <w:r w:rsidR="002E047C" w:rsidRPr="002E047C">
        <w:rPr>
          <w:lang w:val="es-ES_tradnl"/>
        </w:rPr>
        <w:t xml:space="preserve"> y el plazo de publicación </w:t>
      </w:r>
      <w:r w:rsidR="00A7032A" w:rsidRPr="002E047C">
        <w:rPr>
          <w:lang w:val="es-ES_tradnl"/>
        </w:rPr>
        <w:t>se debe</w:t>
      </w:r>
      <w:r w:rsidR="002E047C" w:rsidRPr="002E047C">
        <w:rPr>
          <w:lang w:val="es-ES_tradnl"/>
        </w:rPr>
        <w:t>rán</w:t>
      </w:r>
      <w:r w:rsidR="00A7032A" w:rsidRPr="002E047C">
        <w:rPr>
          <w:lang w:val="es-ES_tradnl"/>
        </w:rPr>
        <w:t xml:space="preserve"> realizar de conformidad con el Acuerdo que el Superintendente emita para tal fin.</w:t>
      </w:r>
    </w:p>
    <w:p w14:paraId="33EAB1A1" w14:textId="77777777" w:rsidR="002E047C" w:rsidRPr="002E047C" w:rsidRDefault="002E047C" w:rsidP="00417762">
      <w:pPr>
        <w:pStyle w:val="Prrafodelista"/>
        <w:ind w:left="360"/>
        <w:rPr>
          <w:snapToGrid w:val="0"/>
          <w:color w:val="000000" w:themeColor="text1"/>
          <w:lang w:val="es-CR"/>
        </w:rPr>
      </w:pPr>
    </w:p>
    <w:p w14:paraId="008099A9" w14:textId="60F8480B" w:rsidR="00A7032A" w:rsidRPr="00A31557" w:rsidRDefault="00A7032A" w:rsidP="00417762">
      <w:pPr>
        <w:pStyle w:val="Prrafodelista"/>
        <w:numPr>
          <w:ilvl w:val="0"/>
          <w:numId w:val="11"/>
        </w:numPr>
        <w:ind w:left="360"/>
        <w:jc w:val="both"/>
        <w:rPr>
          <w:snapToGrid w:val="0"/>
          <w:color w:val="000000" w:themeColor="text1"/>
          <w:lang w:val="es-CR"/>
        </w:rPr>
      </w:pPr>
      <w:r w:rsidRPr="002E047C">
        <w:rPr>
          <w:lang w:val="es-ES_tradnl"/>
        </w:rPr>
        <w:t xml:space="preserve">El suministro </w:t>
      </w:r>
      <w:r w:rsidR="002E047C">
        <w:rPr>
          <w:lang w:val="es-ES_tradnl"/>
        </w:rPr>
        <w:t xml:space="preserve">periódico </w:t>
      </w:r>
      <w:r w:rsidRPr="002E047C">
        <w:rPr>
          <w:lang w:val="es-ES_tradnl"/>
        </w:rPr>
        <w:t>de información financiera de manera periódica constituye una herramienta fundamental para las labores de supervisión y control desarrolladas por la Superintendencia</w:t>
      </w:r>
      <w:r w:rsidR="002E047C">
        <w:rPr>
          <w:lang w:val="es-ES_tradnl"/>
        </w:rPr>
        <w:t xml:space="preserve"> de Pensiones.</w:t>
      </w:r>
    </w:p>
    <w:p w14:paraId="324A735A" w14:textId="77777777" w:rsidR="00A31557" w:rsidRPr="00A31557" w:rsidRDefault="00A31557" w:rsidP="00A31557">
      <w:pPr>
        <w:pStyle w:val="Prrafodelista"/>
        <w:rPr>
          <w:snapToGrid w:val="0"/>
          <w:color w:val="000000" w:themeColor="text1"/>
          <w:lang w:val="es-CR"/>
        </w:rPr>
      </w:pPr>
    </w:p>
    <w:p w14:paraId="190374DF" w14:textId="46053810" w:rsidR="00A7032A" w:rsidRDefault="00A7032A" w:rsidP="00417762">
      <w:pPr>
        <w:pStyle w:val="Encabezado"/>
        <w:rPr>
          <w:rFonts w:cs="Times New Roman"/>
        </w:rPr>
      </w:pPr>
    </w:p>
    <w:p w14:paraId="5144A01E" w14:textId="62081605" w:rsidR="000D7C5F" w:rsidRDefault="000D7C5F" w:rsidP="00417762">
      <w:pPr>
        <w:pStyle w:val="Encabezado"/>
        <w:rPr>
          <w:rFonts w:cs="Times New Roman"/>
        </w:rPr>
      </w:pPr>
    </w:p>
    <w:p w14:paraId="6B419B40" w14:textId="2BFEC940" w:rsidR="000D7C5F" w:rsidRDefault="000D7C5F" w:rsidP="00417762">
      <w:pPr>
        <w:pStyle w:val="Encabezado"/>
        <w:rPr>
          <w:rFonts w:cs="Times New Roman"/>
        </w:rPr>
      </w:pPr>
    </w:p>
    <w:p w14:paraId="687B678D" w14:textId="728FAED1" w:rsidR="000D7C5F" w:rsidRDefault="000D7C5F" w:rsidP="00417762">
      <w:pPr>
        <w:pStyle w:val="Encabezado"/>
        <w:rPr>
          <w:rFonts w:cs="Times New Roman"/>
        </w:rPr>
      </w:pPr>
    </w:p>
    <w:p w14:paraId="0D326AE9" w14:textId="77777777" w:rsidR="000D7C5F" w:rsidRPr="00632D1F" w:rsidRDefault="000D7C5F" w:rsidP="00417762">
      <w:pPr>
        <w:pStyle w:val="Encabezado"/>
        <w:rPr>
          <w:rFonts w:cs="Times New Roman"/>
        </w:rPr>
      </w:pPr>
    </w:p>
    <w:p w14:paraId="0F300CC7" w14:textId="7310A4BE" w:rsidR="00A7032A" w:rsidRPr="002E047C" w:rsidRDefault="002E047C" w:rsidP="002E047C">
      <w:pPr>
        <w:spacing w:line="240" w:lineRule="auto"/>
        <w:jc w:val="center"/>
        <w:rPr>
          <w:rFonts w:cs="Times New Roman"/>
          <w:b/>
        </w:rPr>
      </w:pPr>
      <w:r w:rsidRPr="002E047C">
        <w:rPr>
          <w:rFonts w:cs="Times New Roman"/>
          <w:b/>
        </w:rPr>
        <w:lastRenderedPageBreak/>
        <w:t>POR TANTO:</w:t>
      </w:r>
    </w:p>
    <w:p w14:paraId="1B8EC329" w14:textId="6A165381" w:rsidR="009958F2" w:rsidRDefault="009958F2" w:rsidP="00A7032A">
      <w:pPr>
        <w:spacing w:line="240" w:lineRule="auto"/>
        <w:rPr>
          <w:rFonts w:cs="Times New Roman"/>
        </w:rPr>
      </w:pPr>
    </w:p>
    <w:p w14:paraId="758E6236" w14:textId="77777777" w:rsidR="00C41ED3" w:rsidRPr="00632D1F" w:rsidRDefault="00C41ED3" w:rsidP="00A7032A">
      <w:pPr>
        <w:spacing w:line="240" w:lineRule="auto"/>
        <w:rPr>
          <w:rFonts w:cs="Times New Roman"/>
        </w:rPr>
      </w:pPr>
    </w:p>
    <w:p w14:paraId="253963A6" w14:textId="0D79BC02" w:rsidR="00A7032A" w:rsidRPr="00C40934" w:rsidRDefault="00453E30" w:rsidP="00C40934">
      <w:pPr>
        <w:pStyle w:val="Textoindependiente"/>
        <w:jc w:val="left"/>
        <w:rPr>
          <w:b w:val="0"/>
        </w:rPr>
      </w:pPr>
      <w:r w:rsidRPr="00453E30">
        <w:rPr>
          <w:b w:val="0"/>
        </w:rPr>
        <w:t>I.</w:t>
      </w:r>
      <w:r>
        <w:rPr>
          <w:b w:val="0"/>
        </w:rPr>
        <w:t xml:space="preserve"> </w:t>
      </w:r>
      <w:r w:rsidR="00C40934">
        <w:rPr>
          <w:b w:val="0"/>
        </w:rPr>
        <w:t>S</w:t>
      </w:r>
      <w:r w:rsidR="00C40934" w:rsidRPr="00C40934">
        <w:rPr>
          <w:b w:val="0"/>
        </w:rPr>
        <w:t>e emiten las siguientes disposiciones relativas a la confección, envío y publicación de la información</w:t>
      </w:r>
      <w:r w:rsidR="00C40934">
        <w:rPr>
          <w:b w:val="0"/>
        </w:rPr>
        <w:t xml:space="preserve"> </w:t>
      </w:r>
      <w:r w:rsidR="00C40934" w:rsidRPr="00C40934">
        <w:rPr>
          <w:b w:val="0"/>
        </w:rPr>
        <w:t xml:space="preserve">requerida por la </w:t>
      </w:r>
      <w:r>
        <w:rPr>
          <w:b w:val="0"/>
        </w:rPr>
        <w:t>S</w:t>
      </w:r>
      <w:r w:rsidR="00C40934" w:rsidRPr="00C40934">
        <w:rPr>
          <w:b w:val="0"/>
        </w:rPr>
        <w:t xml:space="preserve">uperintendencia de </w:t>
      </w:r>
      <w:r>
        <w:rPr>
          <w:b w:val="0"/>
        </w:rPr>
        <w:t>P</w:t>
      </w:r>
      <w:r w:rsidR="00C40934" w:rsidRPr="00C40934">
        <w:rPr>
          <w:b w:val="0"/>
        </w:rPr>
        <w:t>ensiones a las entidades supervisadas</w:t>
      </w:r>
      <w:r>
        <w:rPr>
          <w:b w:val="0"/>
        </w:rPr>
        <w:t>.</w:t>
      </w:r>
    </w:p>
    <w:p w14:paraId="1456060F" w14:textId="77777777" w:rsidR="000D7C5F" w:rsidRDefault="000D7C5F" w:rsidP="00A7032A">
      <w:pPr>
        <w:pStyle w:val="Sangra2detindependiente"/>
        <w:spacing w:after="60"/>
        <w:ind w:left="0"/>
      </w:pPr>
    </w:p>
    <w:p w14:paraId="3A707F9B" w14:textId="43C915CC" w:rsidR="00A7032A" w:rsidRPr="00632D1F" w:rsidRDefault="00A7032A" w:rsidP="00A7032A">
      <w:pPr>
        <w:pStyle w:val="Sangra2detindependiente"/>
        <w:spacing w:after="60"/>
        <w:ind w:left="0"/>
      </w:pPr>
      <w:r w:rsidRPr="00632D1F">
        <w:t>Artículo 1.  Alcance</w:t>
      </w:r>
    </w:p>
    <w:p w14:paraId="0B47A625" w14:textId="77777777" w:rsidR="00593260" w:rsidRDefault="00593260" w:rsidP="00A7032A">
      <w:pPr>
        <w:pStyle w:val="Sangra2detindependiente"/>
        <w:spacing w:after="0"/>
        <w:ind w:left="0"/>
        <w:rPr>
          <w:b w:val="0"/>
        </w:rPr>
      </w:pPr>
    </w:p>
    <w:p w14:paraId="23E56037" w14:textId="27192907" w:rsidR="00453E30" w:rsidRDefault="00A7032A" w:rsidP="00A7032A">
      <w:pPr>
        <w:pStyle w:val="Sangra2detindependiente"/>
        <w:spacing w:after="0"/>
        <w:ind w:left="0"/>
        <w:rPr>
          <w:b w:val="0"/>
        </w:rPr>
      </w:pPr>
      <w:r w:rsidRPr="00632D1F">
        <w:rPr>
          <w:b w:val="0"/>
        </w:rPr>
        <w:t>Las presentes disposiciones sobre la confección, envío y publicación de información, aplica</w:t>
      </w:r>
      <w:r w:rsidR="0094632E" w:rsidRPr="00632D1F">
        <w:rPr>
          <w:b w:val="0"/>
        </w:rPr>
        <w:t xml:space="preserve">n </w:t>
      </w:r>
      <w:r w:rsidRPr="00632D1F">
        <w:rPr>
          <w:b w:val="0"/>
        </w:rPr>
        <w:t>a las entidades supervisadas por la Superintendencia de Pensiones (en adelante SUPEN).</w:t>
      </w:r>
    </w:p>
    <w:p w14:paraId="2977002D" w14:textId="77777777" w:rsidR="00453E30" w:rsidRDefault="00453E30" w:rsidP="00A7032A">
      <w:pPr>
        <w:pStyle w:val="Sangra2detindependiente"/>
        <w:spacing w:after="0"/>
        <w:ind w:left="0"/>
        <w:rPr>
          <w:b w:val="0"/>
        </w:rPr>
      </w:pPr>
    </w:p>
    <w:p w14:paraId="08DC34D4" w14:textId="773E3B54" w:rsidR="00A7032A" w:rsidRPr="00632D1F" w:rsidRDefault="00833E51" w:rsidP="00A7032A">
      <w:pPr>
        <w:pStyle w:val="Sangra2detindependiente"/>
        <w:spacing w:after="0"/>
        <w:ind w:left="0"/>
        <w:rPr>
          <w:b w:val="0"/>
        </w:rPr>
      </w:pPr>
      <w:r w:rsidRPr="00D744B5">
        <w:rPr>
          <w:b w:val="0"/>
        </w:rPr>
        <w:t xml:space="preserve">Tratándose del Régimen de Invalidez, Vejez y Muerte administrado por la Caja Costarricense del Seguro Social, los lineamientos incorporados en este </w:t>
      </w:r>
      <w:r>
        <w:rPr>
          <w:b w:val="0"/>
        </w:rPr>
        <w:t xml:space="preserve">acuerdo </w:t>
      </w:r>
      <w:r w:rsidRPr="00D744B5">
        <w:rPr>
          <w:b w:val="0"/>
        </w:rPr>
        <w:t>tienen el carácter de adopción y aplicación voluntaria</w:t>
      </w:r>
      <w:r>
        <w:rPr>
          <w:b w:val="0"/>
        </w:rPr>
        <w:t>.</w:t>
      </w:r>
    </w:p>
    <w:p w14:paraId="02E3627D" w14:textId="77777777" w:rsidR="00A7032A" w:rsidRPr="00632D1F" w:rsidRDefault="00A7032A" w:rsidP="00A7032A">
      <w:pPr>
        <w:spacing w:line="240" w:lineRule="auto"/>
        <w:rPr>
          <w:rFonts w:cs="Times New Roman"/>
          <w:lang w:val="es-ES_tradnl"/>
        </w:rPr>
      </w:pPr>
    </w:p>
    <w:p w14:paraId="63A4490F" w14:textId="6A22A436" w:rsidR="00A7032A" w:rsidRPr="00632D1F" w:rsidRDefault="00A7032A" w:rsidP="00A7032A">
      <w:pPr>
        <w:pStyle w:val="Sangra2detindependiente"/>
        <w:spacing w:after="60"/>
        <w:ind w:left="0"/>
        <w:rPr>
          <w:lang w:val="es-CR"/>
        </w:rPr>
      </w:pPr>
      <w:r w:rsidRPr="00632D1F">
        <w:t>Artículo 2. Periodicidad, plazo y envío de la información</w:t>
      </w:r>
      <w:r w:rsidR="006A798B">
        <w:rPr>
          <w:rStyle w:val="Refdenotaalpie"/>
        </w:rPr>
        <w:footnoteReference w:id="2"/>
      </w:r>
      <w:r w:rsidR="00CC4022">
        <w:rPr>
          <w:rStyle w:val="Refdenotaalpie"/>
        </w:rPr>
        <w:footnoteReference w:id="3"/>
      </w:r>
    </w:p>
    <w:p w14:paraId="061F96CA" w14:textId="77777777" w:rsidR="00593260" w:rsidRDefault="00593260" w:rsidP="00A7032A">
      <w:pPr>
        <w:pStyle w:val="Textoindependiente2"/>
      </w:pPr>
    </w:p>
    <w:p w14:paraId="3093A149" w14:textId="512B5318" w:rsidR="00A7032A" w:rsidRPr="00632D1F" w:rsidRDefault="00A7032A" w:rsidP="00A7032A">
      <w:pPr>
        <w:pStyle w:val="Textoindependiente2"/>
      </w:pPr>
      <w:r w:rsidRPr="00632D1F">
        <w:t>Las entidades supervisadas y los fondos administrados por estas deben remitir, según corresponda, la siguiente información:</w:t>
      </w:r>
    </w:p>
    <w:p w14:paraId="2A9F4962" w14:textId="77777777" w:rsidR="00A7032A" w:rsidRPr="00632D1F" w:rsidRDefault="00A7032A" w:rsidP="00A7032A">
      <w:pPr>
        <w:pStyle w:val="Textoindependiente2"/>
        <w:rPr>
          <w:b/>
          <w:lang w:val="es-CR"/>
        </w:rPr>
      </w:pPr>
    </w:p>
    <w:tbl>
      <w:tblPr>
        <w:tblW w:w="8930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529"/>
        <w:gridCol w:w="2020"/>
        <w:gridCol w:w="2688"/>
      </w:tblGrid>
      <w:tr w:rsidR="00A7032A" w:rsidRPr="00632D1F" w14:paraId="4A89A3A6" w14:textId="77777777" w:rsidTr="006B71C7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BCF029A" w14:textId="77777777" w:rsidR="00A7032A" w:rsidRPr="00632D1F" w:rsidRDefault="00A7032A" w:rsidP="005F4B82">
            <w:pPr>
              <w:widowControl w:val="0"/>
              <w:spacing w:line="240" w:lineRule="auto"/>
              <w:jc w:val="center"/>
              <w:rPr>
                <w:rFonts w:cs="Times New Roman"/>
                <w:b/>
                <w:snapToGrid w:val="0"/>
                <w:sz w:val="22"/>
                <w:lang w:val="es-CR"/>
              </w:rPr>
            </w:pPr>
            <w:r w:rsidRPr="00632D1F">
              <w:rPr>
                <w:rFonts w:cs="Times New Roman"/>
                <w:b/>
                <w:snapToGrid w:val="0"/>
                <w:sz w:val="22"/>
                <w:lang w:val="es-CR"/>
              </w:rPr>
              <w:t xml:space="preserve">Información </w:t>
            </w:r>
          </w:p>
        </w:tc>
        <w:tc>
          <w:tcPr>
            <w:tcW w:w="14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FA3AB29" w14:textId="77777777" w:rsidR="00A7032A" w:rsidRPr="00632D1F" w:rsidRDefault="00A7032A" w:rsidP="005F4B82">
            <w:pPr>
              <w:pStyle w:val="Ttulo5"/>
              <w:rPr>
                <w:i w:val="0"/>
                <w:szCs w:val="22"/>
              </w:rPr>
            </w:pPr>
            <w:r w:rsidRPr="00632D1F">
              <w:rPr>
                <w:i w:val="0"/>
                <w:szCs w:val="22"/>
              </w:rPr>
              <w:t>Periodicidad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4E9F5E0" w14:textId="77777777" w:rsidR="00A7032A" w:rsidRPr="00632D1F" w:rsidRDefault="00A7032A" w:rsidP="005F4B82">
            <w:pPr>
              <w:widowControl w:val="0"/>
              <w:spacing w:line="240" w:lineRule="auto"/>
              <w:jc w:val="center"/>
              <w:rPr>
                <w:rFonts w:cs="Times New Roman"/>
                <w:b/>
                <w:snapToGrid w:val="0"/>
                <w:sz w:val="22"/>
                <w:lang w:val="es-CR"/>
              </w:rPr>
            </w:pPr>
            <w:r w:rsidRPr="00632D1F">
              <w:rPr>
                <w:rFonts w:cs="Times New Roman"/>
                <w:b/>
                <w:snapToGrid w:val="0"/>
                <w:sz w:val="22"/>
                <w:lang w:val="es-CR"/>
              </w:rPr>
              <w:t>Plazo de entrega</w:t>
            </w:r>
          </w:p>
        </w:tc>
        <w:tc>
          <w:tcPr>
            <w:tcW w:w="2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E8A4BC4" w14:textId="77777777" w:rsidR="00A7032A" w:rsidRPr="00632D1F" w:rsidRDefault="00A7032A" w:rsidP="005F4B82">
            <w:pPr>
              <w:widowControl w:val="0"/>
              <w:spacing w:line="240" w:lineRule="auto"/>
              <w:jc w:val="center"/>
              <w:rPr>
                <w:rFonts w:cs="Times New Roman"/>
                <w:b/>
                <w:snapToGrid w:val="0"/>
                <w:sz w:val="22"/>
                <w:lang w:val="es-CR"/>
              </w:rPr>
            </w:pPr>
            <w:r w:rsidRPr="00632D1F">
              <w:rPr>
                <w:rFonts w:cs="Times New Roman"/>
                <w:b/>
                <w:snapToGrid w:val="0"/>
                <w:sz w:val="22"/>
                <w:lang w:val="es-CR"/>
              </w:rPr>
              <w:t>Medio</w:t>
            </w:r>
          </w:p>
        </w:tc>
      </w:tr>
      <w:tr w:rsidR="00A7032A" w:rsidRPr="00632D1F" w14:paraId="545F1E1B" w14:textId="77777777" w:rsidTr="006B71C7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1D58047A" w14:textId="77777777" w:rsidR="00A7032A" w:rsidRPr="00632D1F" w:rsidRDefault="00A7032A" w:rsidP="005F4B8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double" w:sz="4" w:space="0" w:color="auto"/>
              <w:bottom w:val="double" w:sz="4" w:space="0" w:color="auto"/>
            </w:tcBorders>
          </w:tcPr>
          <w:p w14:paraId="54B088BF" w14:textId="77777777" w:rsidR="00A7032A" w:rsidRPr="00632D1F" w:rsidRDefault="00A7032A" w:rsidP="005F4B82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sz w:val="20"/>
                <w:szCs w:val="20"/>
                <w:lang w:val="es-C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37AEBB8" w14:textId="77777777" w:rsidR="00A7032A" w:rsidRPr="00632D1F" w:rsidRDefault="00A7032A" w:rsidP="005F4B8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double" w:sz="4" w:space="0" w:color="auto"/>
              <w:bottom w:val="double" w:sz="4" w:space="0" w:color="auto"/>
            </w:tcBorders>
          </w:tcPr>
          <w:p w14:paraId="6DB1ADA2" w14:textId="77777777" w:rsidR="00A7032A" w:rsidRPr="00632D1F" w:rsidRDefault="00A7032A" w:rsidP="005F4B82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sz w:val="20"/>
                <w:szCs w:val="20"/>
                <w:lang w:val="es-CR"/>
              </w:rPr>
            </w:pPr>
          </w:p>
        </w:tc>
      </w:tr>
      <w:tr w:rsidR="00A7032A" w:rsidRPr="00632D1F" w14:paraId="4C7D2C94" w14:textId="77777777" w:rsidTr="006B71C7">
        <w:trPr>
          <w:trHeight w:val="417"/>
        </w:trPr>
        <w:tc>
          <w:tcPr>
            <w:tcW w:w="893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6012CE32" w14:textId="0B353230" w:rsidR="00A7032A" w:rsidRPr="00632D1F" w:rsidRDefault="00A7032A" w:rsidP="005F4B82">
            <w:pPr>
              <w:widowControl w:val="0"/>
              <w:spacing w:before="40" w:line="240" w:lineRule="auto"/>
              <w:jc w:val="both"/>
              <w:rPr>
                <w:rFonts w:cs="Times New Roman"/>
                <w:b/>
                <w:bCs/>
                <w:sz w:val="22"/>
              </w:rPr>
            </w:pPr>
            <w:r w:rsidRPr="00632D1F">
              <w:rPr>
                <w:rFonts w:cs="Times New Roman"/>
                <w:b/>
                <w:bCs/>
                <w:sz w:val="22"/>
              </w:rPr>
              <w:t xml:space="preserve">Fondos </w:t>
            </w:r>
            <w:r w:rsidR="00EF4318">
              <w:rPr>
                <w:rFonts w:cs="Times New Roman"/>
                <w:b/>
                <w:bCs/>
                <w:sz w:val="22"/>
              </w:rPr>
              <w:t>A</w:t>
            </w:r>
            <w:r w:rsidRPr="00632D1F">
              <w:rPr>
                <w:rFonts w:cs="Times New Roman"/>
                <w:b/>
                <w:bCs/>
                <w:sz w:val="22"/>
              </w:rPr>
              <w:t xml:space="preserve">dministrados por las </w:t>
            </w:r>
            <w:r w:rsidR="002A7490">
              <w:rPr>
                <w:rFonts w:cs="Times New Roman"/>
                <w:b/>
                <w:bCs/>
                <w:sz w:val="22"/>
              </w:rPr>
              <w:t>O</w:t>
            </w:r>
            <w:r w:rsidRPr="00632D1F">
              <w:rPr>
                <w:rFonts w:cs="Times New Roman"/>
                <w:b/>
                <w:bCs/>
                <w:sz w:val="22"/>
              </w:rPr>
              <w:t xml:space="preserve">peradoras de </w:t>
            </w:r>
            <w:r w:rsidR="002A7490">
              <w:rPr>
                <w:rFonts w:cs="Times New Roman"/>
                <w:b/>
                <w:bCs/>
                <w:sz w:val="22"/>
              </w:rPr>
              <w:t>P</w:t>
            </w:r>
            <w:r w:rsidRPr="00632D1F">
              <w:rPr>
                <w:rFonts w:cs="Times New Roman"/>
                <w:b/>
                <w:bCs/>
                <w:sz w:val="22"/>
              </w:rPr>
              <w:t>ensiones</w:t>
            </w:r>
          </w:p>
        </w:tc>
      </w:tr>
      <w:tr w:rsidR="00A7032A" w:rsidRPr="00632D1F" w14:paraId="1DAF045D" w14:textId="77777777" w:rsidTr="006B71C7">
        <w:tc>
          <w:tcPr>
            <w:tcW w:w="2693" w:type="dxa"/>
            <w:tcBorders>
              <w:top w:val="single" w:sz="4" w:space="0" w:color="auto"/>
            </w:tcBorders>
          </w:tcPr>
          <w:p w14:paraId="7924107D" w14:textId="77777777" w:rsidR="00A7032A" w:rsidRPr="00632D1F" w:rsidRDefault="00A7032A" w:rsidP="005F4B8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Valor Cuota (según lo estipulado en el Manual de información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77998CBC" w14:textId="77777777" w:rsidR="00A7032A" w:rsidRPr="00632D1F" w:rsidRDefault="00A7032A" w:rsidP="005F4B8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>Diaria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B8F5EA" w14:textId="58D5E75D" w:rsidR="00A7032A" w:rsidRPr="00632D1F" w:rsidRDefault="00BB0BE3" w:rsidP="005F4B8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B0BE3">
              <w:rPr>
                <w:rFonts w:cs="Times New Roman"/>
                <w:bCs/>
                <w:sz w:val="20"/>
                <w:szCs w:val="20"/>
              </w:rPr>
              <w:t>Hasta las</w:t>
            </w:r>
            <w:r w:rsidR="00DD676F">
              <w:rPr>
                <w:rFonts w:cs="Times New Roman"/>
                <w:bCs/>
                <w:sz w:val="20"/>
                <w:szCs w:val="20"/>
              </w:rPr>
              <w:t xml:space="preserve"> dieciséis horas </w:t>
            </w:r>
            <w:r w:rsidRPr="00BB0BE3">
              <w:rPr>
                <w:rFonts w:cs="Times New Roman"/>
                <w:bCs/>
                <w:sz w:val="20"/>
                <w:szCs w:val="20"/>
              </w:rPr>
              <w:t>del día hábil siguiente</w:t>
            </w:r>
            <w:r w:rsidR="00A7032A" w:rsidRPr="00632D1F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4ABF0852" w14:textId="34E74A63" w:rsidR="00A7032A" w:rsidRPr="00632D1F" w:rsidRDefault="00A7032A" w:rsidP="005F4B82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sz w:val="20"/>
                <w:szCs w:val="20"/>
                <w:lang w:val="es-CR"/>
              </w:rPr>
            </w:pP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Servicio de </w:t>
            </w:r>
            <w:r w:rsidR="002D4F6B"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>t</w:t>
            </w: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ransferencia de </w:t>
            </w:r>
            <w:r w:rsidR="007D0107"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información </w:t>
            </w:r>
            <w:r w:rsidR="002F4FEC">
              <w:rPr>
                <w:rFonts w:cs="Times New Roman"/>
                <w:snapToGrid w:val="0"/>
                <w:sz w:val="20"/>
                <w:szCs w:val="20"/>
                <w:lang w:val="es-CR"/>
              </w:rPr>
              <w:t>de la VES</w:t>
            </w:r>
          </w:p>
        </w:tc>
      </w:tr>
      <w:tr w:rsidR="008370A2" w:rsidRPr="00632D1F" w14:paraId="3EA29B22" w14:textId="77777777" w:rsidTr="7091C2A6">
        <w:trPr>
          <w:trHeight w:val="727"/>
        </w:trPr>
        <w:tc>
          <w:tcPr>
            <w:tcW w:w="2693" w:type="dxa"/>
          </w:tcPr>
          <w:p w14:paraId="5E471DB4" w14:textId="0C1233C2" w:rsidR="008370A2" w:rsidRPr="00632D1F" w:rsidRDefault="008370A2" w:rsidP="008370A2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>Reportes de afiliados</w:t>
            </w:r>
          </w:p>
        </w:tc>
        <w:tc>
          <w:tcPr>
            <w:tcW w:w="1461" w:type="dxa"/>
          </w:tcPr>
          <w:p w14:paraId="694B6BE3" w14:textId="77777777" w:rsidR="008370A2" w:rsidRPr="00632D1F" w:rsidRDefault="008370A2" w:rsidP="008370A2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>Mensual</w:t>
            </w:r>
          </w:p>
        </w:tc>
        <w:tc>
          <w:tcPr>
            <w:tcW w:w="0" w:type="auto"/>
          </w:tcPr>
          <w:p w14:paraId="0D76DA14" w14:textId="059FF111" w:rsidR="008370A2" w:rsidRPr="00632D1F" w:rsidRDefault="005F2555" w:rsidP="00195489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</w:rPr>
              <w:t xml:space="preserve">Se crean dos grupos de operadoras: El Grupo A conformado por: BAC San José, CCSS, </w:t>
            </w:r>
            <w:r w:rsidR="006E1D29" w:rsidRPr="00632D1F">
              <w:rPr>
                <w:b w:val="0"/>
                <w:sz w:val="20"/>
                <w:szCs w:val="20"/>
              </w:rPr>
              <w:t xml:space="preserve">y </w:t>
            </w:r>
            <w:r w:rsidRPr="00632D1F">
              <w:rPr>
                <w:b w:val="0"/>
                <w:sz w:val="20"/>
                <w:szCs w:val="20"/>
              </w:rPr>
              <w:t>Popular</w:t>
            </w:r>
            <w:r w:rsidR="00195489" w:rsidRPr="00632D1F">
              <w:rPr>
                <w:b w:val="0"/>
                <w:sz w:val="20"/>
                <w:szCs w:val="20"/>
              </w:rPr>
              <w:t xml:space="preserve"> </w:t>
            </w:r>
            <w:r w:rsidRPr="00632D1F">
              <w:rPr>
                <w:b w:val="0"/>
                <w:sz w:val="20"/>
                <w:szCs w:val="20"/>
              </w:rPr>
              <w:t>Pensiones. El Grupo B conformado por: BN Vital,</w:t>
            </w:r>
            <w:r w:rsidR="00195489" w:rsidRPr="00632D1F">
              <w:rPr>
                <w:b w:val="0"/>
                <w:sz w:val="20"/>
                <w:szCs w:val="20"/>
              </w:rPr>
              <w:t xml:space="preserve"> </w:t>
            </w:r>
            <w:r w:rsidRPr="00632D1F">
              <w:rPr>
                <w:b w:val="0"/>
                <w:sz w:val="20"/>
                <w:szCs w:val="20"/>
              </w:rPr>
              <w:t>BCR</w:t>
            </w:r>
            <w:r w:rsidR="00195489" w:rsidRPr="00632D1F">
              <w:rPr>
                <w:b w:val="0"/>
                <w:sz w:val="20"/>
                <w:szCs w:val="20"/>
              </w:rPr>
              <w:t xml:space="preserve"> </w:t>
            </w:r>
            <w:r w:rsidRPr="00632D1F">
              <w:rPr>
                <w:b w:val="0"/>
                <w:sz w:val="20"/>
                <w:szCs w:val="20"/>
              </w:rPr>
              <w:t xml:space="preserve">Pensión y Vida Plena. En los meses pares el Grupo A enviará y procesará la información dentro de </w:t>
            </w:r>
            <w:r w:rsidRPr="00632D1F">
              <w:rPr>
                <w:b w:val="0"/>
                <w:sz w:val="20"/>
                <w:szCs w:val="20"/>
              </w:rPr>
              <w:lastRenderedPageBreak/>
              <w:t xml:space="preserve">los primeros 4 días hábiles y el Grupo B, dentro de los cuatro días hábiles inmediatos siguientes al cuarto día hábil del mes de que se trate. En los meses </w:t>
            </w:r>
            <w:r w:rsidR="00104967" w:rsidRPr="00632D1F">
              <w:rPr>
                <w:b w:val="0"/>
                <w:sz w:val="20"/>
                <w:szCs w:val="20"/>
              </w:rPr>
              <w:t>im</w:t>
            </w:r>
            <w:r w:rsidRPr="00632D1F">
              <w:rPr>
                <w:b w:val="0"/>
                <w:sz w:val="20"/>
                <w:szCs w:val="20"/>
              </w:rPr>
              <w:t>pares los grupos intercambiarán de posición de manera que el Grupo B enviará y procesará la información dentro de los primeros 4 días hábiles y el Grupo A, hará lo propio dentro de los cuatro días hábiles inmediatos</w:t>
            </w:r>
            <w:r w:rsidR="006C4A35" w:rsidRPr="00632D1F">
              <w:rPr>
                <w:b w:val="0"/>
                <w:sz w:val="20"/>
                <w:szCs w:val="20"/>
              </w:rPr>
              <w:t xml:space="preserve"> siguientes al cuarto día hábil </w:t>
            </w:r>
            <w:r w:rsidR="00B47F63" w:rsidRPr="00632D1F">
              <w:rPr>
                <w:b w:val="0"/>
                <w:sz w:val="20"/>
                <w:szCs w:val="20"/>
              </w:rPr>
              <w:t>de dicho mes, es decir, del quinto día al octavo día hábil inclusive.</w:t>
            </w:r>
          </w:p>
        </w:tc>
        <w:tc>
          <w:tcPr>
            <w:tcW w:w="2688" w:type="dxa"/>
          </w:tcPr>
          <w:p w14:paraId="2398F959" w14:textId="0E394280" w:rsidR="008370A2" w:rsidRPr="00632D1F" w:rsidRDefault="008370A2" w:rsidP="008370A2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sz w:val="20"/>
                <w:szCs w:val="20"/>
                <w:lang w:val="es-CR"/>
              </w:rPr>
            </w:pP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lastRenderedPageBreak/>
              <w:t xml:space="preserve">Servicio de </w:t>
            </w:r>
            <w:r w:rsidR="002D4F6B"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>t</w:t>
            </w: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ransferencia de </w:t>
            </w:r>
            <w:r w:rsidR="007D0107"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información </w:t>
            </w:r>
            <w:r w:rsidR="002F4FEC">
              <w:rPr>
                <w:rFonts w:cs="Times New Roman"/>
                <w:snapToGrid w:val="0"/>
                <w:sz w:val="20"/>
                <w:szCs w:val="20"/>
                <w:lang w:val="es-CR"/>
              </w:rPr>
              <w:t>de la VES</w:t>
            </w:r>
          </w:p>
        </w:tc>
      </w:tr>
      <w:tr w:rsidR="008370A2" w:rsidRPr="00632D1F" w14:paraId="43E5730A" w14:textId="77777777" w:rsidTr="008C413D">
        <w:tc>
          <w:tcPr>
            <w:tcW w:w="2693" w:type="dxa"/>
            <w:tcBorders>
              <w:top w:val="single" w:sz="4" w:space="0" w:color="auto"/>
            </w:tcBorders>
          </w:tcPr>
          <w:p w14:paraId="7F262BFB" w14:textId="46996943" w:rsidR="000526E7" w:rsidRPr="00632D1F" w:rsidRDefault="008370A2" w:rsidP="008370A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Reporte de beneficiarios</w:t>
            </w:r>
          </w:p>
          <w:p w14:paraId="06680F40" w14:textId="77777777" w:rsidR="008370A2" w:rsidRPr="00632D1F" w:rsidRDefault="008370A2" w:rsidP="000526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76724B12" w14:textId="77777777" w:rsidR="008370A2" w:rsidRPr="00632D1F" w:rsidRDefault="008370A2" w:rsidP="008370A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Mensual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B6DA5E" w14:textId="2AA705B2" w:rsidR="008370A2" w:rsidRPr="00632D1F" w:rsidRDefault="008370A2" w:rsidP="008370A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5 primeros días hábiles del mes siguiente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16E4001F" w14:textId="5E326AA2" w:rsidR="008370A2" w:rsidRPr="00632D1F" w:rsidRDefault="008370A2" w:rsidP="008370A2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sz w:val="20"/>
                <w:szCs w:val="20"/>
                <w:lang w:val="es-CR"/>
              </w:rPr>
            </w:pP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Servicio de </w:t>
            </w:r>
            <w:r w:rsidR="002D4F6B"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>t</w:t>
            </w: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ransferencia de </w:t>
            </w:r>
            <w:r w:rsidR="007D0107"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información </w:t>
            </w:r>
            <w:r w:rsidR="002F4FEC">
              <w:rPr>
                <w:rFonts w:cs="Times New Roman"/>
                <w:snapToGrid w:val="0"/>
                <w:sz w:val="20"/>
                <w:szCs w:val="20"/>
                <w:lang w:val="es-CR"/>
              </w:rPr>
              <w:t>de la VES</w:t>
            </w:r>
          </w:p>
        </w:tc>
      </w:tr>
      <w:tr w:rsidR="002D4F6B" w:rsidRPr="00632D1F" w14:paraId="3785A424" w14:textId="77777777" w:rsidTr="008C413D">
        <w:tc>
          <w:tcPr>
            <w:tcW w:w="2693" w:type="dxa"/>
            <w:tcBorders>
              <w:top w:val="single" w:sz="4" w:space="0" w:color="auto"/>
            </w:tcBorders>
          </w:tcPr>
          <w:p w14:paraId="547B0EF0" w14:textId="77777777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Reporte Modificación de datos personales de afiliados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0FF8F1E5" w14:textId="77777777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Mensual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649676" w14:textId="77777777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3 días hábiles previos al cierre de cada mes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19ED1685" w14:textId="3D947979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sz w:val="20"/>
                <w:szCs w:val="20"/>
                <w:lang w:val="es-CR"/>
              </w:rPr>
            </w:pP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Servicio de transferencia de </w:t>
            </w:r>
            <w:r w:rsidR="007D0107"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información </w:t>
            </w:r>
            <w:r w:rsidR="002F4FEC">
              <w:rPr>
                <w:rFonts w:cs="Times New Roman"/>
                <w:snapToGrid w:val="0"/>
                <w:sz w:val="20"/>
                <w:szCs w:val="20"/>
                <w:lang w:val="es-CR"/>
              </w:rPr>
              <w:t>de la VES</w:t>
            </w:r>
          </w:p>
        </w:tc>
      </w:tr>
      <w:tr w:rsidR="002D4F6B" w:rsidRPr="00632D1F" w14:paraId="0CCD52FE" w14:textId="77777777" w:rsidTr="008C413D">
        <w:tc>
          <w:tcPr>
            <w:tcW w:w="2693" w:type="dxa"/>
            <w:tcBorders>
              <w:top w:val="single" w:sz="4" w:space="0" w:color="auto"/>
            </w:tcBorders>
          </w:tcPr>
          <w:p w14:paraId="24A41077" w14:textId="77777777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Reporte de operaciones únicas o múltiples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45185A21" w14:textId="77777777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Mensual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4686F8" w14:textId="14F29A61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Dentro de los veinte días naturales posteriores al cierre de cada mes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76B4AFE8" w14:textId="4DD8854C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sz w:val="20"/>
                <w:szCs w:val="20"/>
                <w:lang w:val="es-CR"/>
              </w:rPr>
            </w:pP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Servicio de transferencia de </w:t>
            </w:r>
            <w:r w:rsidR="007D0107"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información </w:t>
            </w:r>
            <w:r w:rsidR="002F4FEC">
              <w:rPr>
                <w:rFonts w:cs="Times New Roman"/>
                <w:snapToGrid w:val="0"/>
                <w:sz w:val="20"/>
                <w:szCs w:val="20"/>
                <w:lang w:val="es-CR"/>
              </w:rPr>
              <w:t>de la VES</w:t>
            </w:r>
          </w:p>
        </w:tc>
      </w:tr>
      <w:tr w:rsidR="008370A2" w:rsidRPr="00632D1F" w14:paraId="04A62BCA" w14:textId="77777777" w:rsidTr="008C413D">
        <w:tc>
          <w:tcPr>
            <w:tcW w:w="2693" w:type="dxa"/>
            <w:tcBorders>
              <w:top w:val="single" w:sz="4" w:space="0" w:color="auto"/>
            </w:tcBorders>
          </w:tcPr>
          <w:p w14:paraId="3BF5898E" w14:textId="77777777" w:rsidR="008370A2" w:rsidRPr="00632D1F" w:rsidRDefault="008370A2" w:rsidP="008370A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55AAD7AA" w14:textId="77777777" w:rsidR="008370A2" w:rsidRPr="00632D1F" w:rsidRDefault="008370A2" w:rsidP="008370A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206EC0" w14:textId="77777777" w:rsidR="008370A2" w:rsidRPr="00632D1F" w:rsidRDefault="008370A2" w:rsidP="008370A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754574FE" w14:textId="77777777" w:rsidR="008370A2" w:rsidRPr="00632D1F" w:rsidRDefault="008370A2" w:rsidP="008370A2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sz w:val="20"/>
                <w:szCs w:val="20"/>
                <w:lang w:val="es-CR"/>
              </w:rPr>
            </w:pPr>
          </w:p>
        </w:tc>
      </w:tr>
      <w:tr w:rsidR="008370A2" w:rsidRPr="00632D1F" w14:paraId="4232B738" w14:textId="77777777" w:rsidTr="008C413D">
        <w:trPr>
          <w:trHeight w:val="419"/>
        </w:trPr>
        <w:tc>
          <w:tcPr>
            <w:tcW w:w="8930" w:type="dxa"/>
            <w:gridSpan w:val="4"/>
          </w:tcPr>
          <w:p w14:paraId="75EA8D11" w14:textId="0A18CC26" w:rsidR="008370A2" w:rsidRPr="00632D1F" w:rsidRDefault="008370A2" w:rsidP="008370A2">
            <w:pPr>
              <w:widowControl w:val="0"/>
              <w:spacing w:before="40" w:line="240" w:lineRule="auto"/>
              <w:jc w:val="both"/>
              <w:rPr>
                <w:rFonts w:cs="Times New Roman"/>
                <w:b/>
                <w:bCs/>
                <w:sz w:val="22"/>
              </w:rPr>
            </w:pPr>
            <w:r w:rsidRPr="00632D1F">
              <w:rPr>
                <w:rFonts w:cs="Times New Roman"/>
                <w:b/>
                <w:bCs/>
                <w:sz w:val="22"/>
              </w:rPr>
              <w:t xml:space="preserve">Entidades </w:t>
            </w:r>
            <w:r w:rsidR="002A7490">
              <w:rPr>
                <w:rFonts w:cs="Times New Roman"/>
                <w:b/>
                <w:bCs/>
                <w:sz w:val="22"/>
              </w:rPr>
              <w:t>S</w:t>
            </w:r>
            <w:r w:rsidRPr="00632D1F">
              <w:rPr>
                <w:rFonts w:cs="Times New Roman"/>
                <w:b/>
                <w:bCs/>
                <w:sz w:val="22"/>
              </w:rPr>
              <w:t xml:space="preserve">upervisadas y </w:t>
            </w:r>
            <w:r w:rsidR="002A7490">
              <w:rPr>
                <w:rFonts w:cs="Times New Roman"/>
                <w:b/>
                <w:bCs/>
                <w:sz w:val="22"/>
              </w:rPr>
              <w:t>F</w:t>
            </w:r>
            <w:r w:rsidRPr="00632D1F">
              <w:rPr>
                <w:rFonts w:cs="Times New Roman"/>
                <w:b/>
                <w:bCs/>
                <w:sz w:val="22"/>
              </w:rPr>
              <w:t xml:space="preserve">ondos </w:t>
            </w:r>
            <w:r w:rsidR="002A7490">
              <w:rPr>
                <w:rFonts w:cs="Times New Roman"/>
                <w:b/>
                <w:bCs/>
                <w:sz w:val="22"/>
              </w:rPr>
              <w:t>A</w:t>
            </w:r>
            <w:r w:rsidRPr="00632D1F">
              <w:rPr>
                <w:rFonts w:cs="Times New Roman"/>
                <w:b/>
                <w:bCs/>
                <w:sz w:val="22"/>
              </w:rPr>
              <w:t>dministrados</w:t>
            </w:r>
          </w:p>
        </w:tc>
      </w:tr>
      <w:tr w:rsidR="002D4F6B" w:rsidRPr="00632D1F" w14:paraId="5200353A" w14:textId="77777777" w:rsidTr="7091C2A6">
        <w:tc>
          <w:tcPr>
            <w:tcW w:w="2693" w:type="dxa"/>
          </w:tcPr>
          <w:p w14:paraId="2EABA481" w14:textId="77777777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Saldos Contables (según lo estipulado en el Manual de información</w:t>
            </w:r>
          </w:p>
        </w:tc>
        <w:tc>
          <w:tcPr>
            <w:tcW w:w="1461" w:type="dxa"/>
          </w:tcPr>
          <w:p w14:paraId="09D2B572" w14:textId="77777777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>Mensual</w:t>
            </w:r>
          </w:p>
        </w:tc>
        <w:tc>
          <w:tcPr>
            <w:tcW w:w="0" w:type="auto"/>
          </w:tcPr>
          <w:p w14:paraId="73877BF3" w14:textId="071218E6" w:rsidR="002D4F6B" w:rsidRPr="00632D1F" w:rsidRDefault="0021616E" w:rsidP="002D4F6B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Hasta las 5 p.m. del quinto día</w:t>
            </w:r>
            <w:r w:rsidR="0029036A" w:rsidRPr="00632D1F">
              <w:rPr>
                <w:rFonts w:cs="Times New Roman"/>
                <w:bCs/>
                <w:sz w:val="20"/>
                <w:szCs w:val="20"/>
              </w:rPr>
              <w:t xml:space="preserve"> hábil </w:t>
            </w:r>
            <w:r w:rsidR="002D4F6B" w:rsidRPr="00632D1F">
              <w:rPr>
                <w:rFonts w:cs="Times New Roman"/>
                <w:bCs/>
                <w:sz w:val="20"/>
                <w:szCs w:val="20"/>
              </w:rPr>
              <w:t xml:space="preserve">del mes siguiente </w:t>
            </w:r>
          </w:p>
        </w:tc>
        <w:tc>
          <w:tcPr>
            <w:tcW w:w="2688" w:type="dxa"/>
          </w:tcPr>
          <w:p w14:paraId="2FAB198E" w14:textId="3FEC664B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sz w:val="20"/>
                <w:szCs w:val="20"/>
                <w:lang w:val="es-CR"/>
              </w:rPr>
            </w:pP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Servicio de transferencia de </w:t>
            </w:r>
            <w:r w:rsidR="007D0107"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información </w:t>
            </w:r>
            <w:r w:rsidR="002F4FEC">
              <w:rPr>
                <w:rFonts w:cs="Times New Roman"/>
                <w:snapToGrid w:val="0"/>
                <w:sz w:val="20"/>
                <w:szCs w:val="20"/>
                <w:lang w:val="es-CR"/>
              </w:rPr>
              <w:t>de la VES</w:t>
            </w:r>
          </w:p>
        </w:tc>
      </w:tr>
      <w:tr w:rsidR="002D4F6B" w:rsidRPr="00632D1F" w14:paraId="027E9F4E" w14:textId="77777777" w:rsidTr="7091C2A6">
        <w:trPr>
          <w:trHeight w:val="444"/>
        </w:trPr>
        <w:tc>
          <w:tcPr>
            <w:tcW w:w="2693" w:type="dxa"/>
          </w:tcPr>
          <w:p w14:paraId="6D06C756" w14:textId="1ABF794B" w:rsidR="002D4F6B" w:rsidRPr="00632D1F" w:rsidRDefault="002D4F6B" w:rsidP="002D4F6B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 xml:space="preserve">Reporte de </w:t>
            </w:r>
            <w:r w:rsidR="00902837" w:rsidRPr="00632D1F">
              <w:rPr>
                <w:b w:val="0"/>
                <w:sz w:val="20"/>
                <w:szCs w:val="20"/>
                <w:lang w:val="es-CR"/>
              </w:rPr>
              <w:t>I</w:t>
            </w:r>
            <w:r w:rsidRPr="00632D1F">
              <w:rPr>
                <w:b w:val="0"/>
                <w:sz w:val="20"/>
                <w:szCs w:val="20"/>
                <w:lang w:val="es-CR"/>
              </w:rPr>
              <w:t>nversiones (según lo establecido en el Manual de información)</w:t>
            </w:r>
          </w:p>
        </w:tc>
        <w:tc>
          <w:tcPr>
            <w:tcW w:w="1461" w:type="dxa"/>
          </w:tcPr>
          <w:p w14:paraId="381A2335" w14:textId="77777777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Mensual</w:t>
            </w:r>
          </w:p>
        </w:tc>
        <w:tc>
          <w:tcPr>
            <w:tcW w:w="0" w:type="auto"/>
          </w:tcPr>
          <w:p w14:paraId="5DC5708F" w14:textId="72CFE525" w:rsidR="002D4F6B" w:rsidRPr="00632D1F" w:rsidRDefault="00953567" w:rsidP="00387C7D">
            <w:pPr>
              <w:widowControl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A más tardar e</w:t>
            </w:r>
            <w:r w:rsidR="00D8660F" w:rsidRPr="00632D1F">
              <w:rPr>
                <w:rFonts w:cs="Times New Roman"/>
                <w:bCs/>
                <w:sz w:val="20"/>
                <w:szCs w:val="20"/>
              </w:rPr>
              <w:t xml:space="preserve">l día y medio hábil siguiente a la fecha de corte para los Regímenes de Capitalización Individual (RCI) y los </w:t>
            </w:r>
            <w:r w:rsidR="002D4F6B" w:rsidRPr="00632D1F">
              <w:rPr>
                <w:rFonts w:cs="Times New Roman"/>
                <w:bCs/>
                <w:sz w:val="20"/>
                <w:szCs w:val="20"/>
              </w:rPr>
              <w:t>5 primeros</w:t>
            </w:r>
            <w:r w:rsidR="002D4F6B" w:rsidRPr="00632D1F">
              <w:rPr>
                <w:rFonts w:cs="Times New Roman"/>
                <w:sz w:val="20"/>
                <w:szCs w:val="20"/>
              </w:rPr>
              <w:t xml:space="preserve"> días hábiles del mes siguiente </w:t>
            </w:r>
            <w:r w:rsidR="00D8660F" w:rsidRPr="00632D1F">
              <w:rPr>
                <w:rFonts w:cs="Times New Roman"/>
                <w:bCs/>
                <w:sz w:val="20"/>
                <w:szCs w:val="20"/>
              </w:rPr>
              <w:t xml:space="preserve">para </w:t>
            </w:r>
            <w:r w:rsidR="00C15724" w:rsidRPr="00632D1F">
              <w:rPr>
                <w:rFonts w:cs="Times New Roman"/>
                <w:bCs/>
                <w:sz w:val="20"/>
                <w:szCs w:val="20"/>
              </w:rPr>
              <w:t>los Regímenes</w:t>
            </w:r>
            <w:r w:rsidR="00D8660F" w:rsidRPr="00632D1F">
              <w:rPr>
                <w:rFonts w:cs="Times New Roman"/>
                <w:bCs/>
                <w:sz w:val="20"/>
                <w:szCs w:val="20"/>
              </w:rPr>
              <w:t xml:space="preserve"> de Capitalización Colectiva (RC).</w:t>
            </w:r>
          </w:p>
        </w:tc>
        <w:tc>
          <w:tcPr>
            <w:tcW w:w="2688" w:type="dxa"/>
          </w:tcPr>
          <w:p w14:paraId="7A7C02A6" w14:textId="5A29F762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sz w:val="20"/>
                <w:szCs w:val="20"/>
                <w:lang w:val="es-CR"/>
              </w:rPr>
            </w:pP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Servicio de transferencia de </w:t>
            </w:r>
            <w:r w:rsidR="007D0107"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información </w:t>
            </w:r>
            <w:r w:rsidR="002F4FEC">
              <w:rPr>
                <w:rFonts w:cs="Times New Roman"/>
                <w:snapToGrid w:val="0"/>
                <w:sz w:val="20"/>
                <w:szCs w:val="20"/>
                <w:lang w:val="es-CR"/>
              </w:rPr>
              <w:t>de la VES</w:t>
            </w:r>
          </w:p>
        </w:tc>
      </w:tr>
      <w:tr w:rsidR="002D4F6B" w:rsidRPr="00632D1F" w14:paraId="0B070540" w14:textId="77777777" w:rsidTr="7091C2A6">
        <w:tc>
          <w:tcPr>
            <w:tcW w:w="2693" w:type="dxa"/>
          </w:tcPr>
          <w:p w14:paraId="4EB236B2" w14:textId="34520084" w:rsidR="002D4F6B" w:rsidRPr="00632D1F" w:rsidRDefault="002D4F6B" w:rsidP="002D4F6B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lastRenderedPageBreak/>
              <w:t xml:space="preserve">Reporte de operaciones </w:t>
            </w:r>
            <w:r w:rsidR="00D8660F" w:rsidRPr="00632D1F">
              <w:rPr>
                <w:b w:val="0"/>
                <w:sz w:val="20"/>
                <w:szCs w:val="20"/>
                <w:lang w:val="es-CR"/>
              </w:rPr>
              <w:t>de cobertura.</w:t>
            </w:r>
          </w:p>
        </w:tc>
        <w:tc>
          <w:tcPr>
            <w:tcW w:w="1461" w:type="dxa"/>
          </w:tcPr>
          <w:p w14:paraId="25E92FD2" w14:textId="028F207B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Mensual</w:t>
            </w:r>
          </w:p>
        </w:tc>
        <w:tc>
          <w:tcPr>
            <w:tcW w:w="0" w:type="auto"/>
          </w:tcPr>
          <w:p w14:paraId="7DDC5E02" w14:textId="375798B4" w:rsidR="005C76C8" w:rsidRPr="00632D1F" w:rsidRDefault="00953567" w:rsidP="00D8660F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A más tardar el</w:t>
            </w:r>
            <w:r w:rsidR="00D8660F" w:rsidRPr="00632D1F">
              <w:rPr>
                <w:rFonts w:cs="Times New Roman"/>
                <w:bCs/>
                <w:sz w:val="20"/>
                <w:szCs w:val="20"/>
              </w:rPr>
              <w:t xml:space="preserve"> d</w:t>
            </w:r>
            <w:r w:rsidR="0081578B" w:rsidRPr="00632D1F">
              <w:rPr>
                <w:rFonts w:cs="Times New Roman"/>
                <w:bCs/>
                <w:sz w:val="20"/>
                <w:szCs w:val="20"/>
              </w:rPr>
              <w:t xml:space="preserve">ía y medio hábil </w:t>
            </w:r>
            <w:r w:rsidR="005C76C8" w:rsidRPr="00632D1F">
              <w:rPr>
                <w:rFonts w:cs="Times New Roman"/>
                <w:bCs/>
                <w:sz w:val="20"/>
                <w:szCs w:val="20"/>
              </w:rPr>
              <w:t xml:space="preserve">siguiente a la fecha de corte </w:t>
            </w:r>
            <w:r w:rsidR="0081578B" w:rsidRPr="00632D1F">
              <w:rPr>
                <w:rFonts w:cs="Times New Roman"/>
                <w:bCs/>
                <w:sz w:val="20"/>
                <w:szCs w:val="20"/>
              </w:rPr>
              <w:t>para los</w:t>
            </w:r>
            <w:r w:rsidR="00D8660F" w:rsidRPr="00632D1F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5C76C8" w:rsidRPr="00632D1F">
              <w:rPr>
                <w:rFonts w:cs="Times New Roman"/>
                <w:bCs/>
                <w:sz w:val="20"/>
                <w:szCs w:val="20"/>
              </w:rPr>
              <w:t xml:space="preserve">RCI y los </w:t>
            </w:r>
            <w:r w:rsidR="002D4F6B" w:rsidRPr="00632D1F">
              <w:rPr>
                <w:rFonts w:cs="Times New Roman"/>
                <w:bCs/>
                <w:sz w:val="20"/>
                <w:szCs w:val="20"/>
              </w:rPr>
              <w:t xml:space="preserve">5 primeros días hábiles del mes siguiente </w:t>
            </w:r>
            <w:r w:rsidR="00387C7D" w:rsidRPr="00632D1F">
              <w:rPr>
                <w:rFonts w:cs="Times New Roman"/>
                <w:bCs/>
                <w:sz w:val="20"/>
                <w:szCs w:val="20"/>
              </w:rPr>
              <w:t xml:space="preserve">para los </w:t>
            </w:r>
            <w:r w:rsidR="005C76C8" w:rsidRPr="00632D1F">
              <w:rPr>
                <w:rFonts w:cs="Times New Roman"/>
                <w:bCs/>
                <w:sz w:val="20"/>
                <w:szCs w:val="20"/>
              </w:rPr>
              <w:t>RC.</w:t>
            </w:r>
          </w:p>
        </w:tc>
        <w:tc>
          <w:tcPr>
            <w:tcW w:w="2688" w:type="dxa"/>
          </w:tcPr>
          <w:p w14:paraId="0A0F60F3" w14:textId="1D884946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sz w:val="20"/>
                <w:szCs w:val="20"/>
                <w:lang w:val="es-CR"/>
              </w:rPr>
            </w:pP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Servicio de transferencia de </w:t>
            </w:r>
            <w:r w:rsidR="007D0107"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información </w:t>
            </w:r>
            <w:r w:rsidR="002F4FEC">
              <w:rPr>
                <w:rFonts w:cs="Times New Roman"/>
                <w:snapToGrid w:val="0"/>
                <w:sz w:val="20"/>
                <w:szCs w:val="20"/>
                <w:lang w:val="es-CR"/>
              </w:rPr>
              <w:t>de la VES</w:t>
            </w:r>
          </w:p>
        </w:tc>
      </w:tr>
      <w:tr w:rsidR="0071422C" w:rsidRPr="00632D1F" w14:paraId="18C2B320" w14:textId="77777777" w:rsidTr="7091C2A6">
        <w:tc>
          <w:tcPr>
            <w:tcW w:w="2693" w:type="dxa"/>
          </w:tcPr>
          <w:p w14:paraId="534FFFB5" w14:textId="4EE8A10D" w:rsidR="0071422C" w:rsidRPr="00632D1F" w:rsidRDefault="0071422C" w:rsidP="0071422C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 xml:space="preserve">Reporte </w:t>
            </w:r>
            <w:r w:rsidR="00902837" w:rsidRPr="00632D1F">
              <w:rPr>
                <w:b w:val="0"/>
                <w:sz w:val="20"/>
                <w:szCs w:val="20"/>
                <w:lang w:val="es-CR"/>
              </w:rPr>
              <w:t>c</w:t>
            </w:r>
            <w:r w:rsidRPr="00632D1F">
              <w:rPr>
                <w:b w:val="0"/>
                <w:sz w:val="20"/>
                <w:szCs w:val="20"/>
                <w:lang w:val="es-CR"/>
              </w:rPr>
              <w:t>ompras y ventas</w:t>
            </w:r>
          </w:p>
        </w:tc>
        <w:tc>
          <w:tcPr>
            <w:tcW w:w="1461" w:type="dxa"/>
          </w:tcPr>
          <w:p w14:paraId="3F11AB94" w14:textId="06EB4038" w:rsidR="0071422C" w:rsidRPr="00632D1F" w:rsidRDefault="0071422C" w:rsidP="0071422C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Mensual</w:t>
            </w:r>
          </w:p>
        </w:tc>
        <w:tc>
          <w:tcPr>
            <w:tcW w:w="0" w:type="auto"/>
          </w:tcPr>
          <w:p w14:paraId="23F02B07" w14:textId="5D843DEB" w:rsidR="0071422C" w:rsidRPr="00632D1F" w:rsidRDefault="00953567" w:rsidP="0071422C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A más tardar el</w:t>
            </w:r>
            <w:r w:rsidR="00D8660F" w:rsidRPr="00632D1F">
              <w:rPr>
                <w:rFonts w:cs="Times New Roman"/>
                <w:bCs/>
                <w:sz w:val="20"/>
                <w:szCs w:val="20"/>
              </w:rPr>
              <w:t xml:space="preserve"> día y medio hábil siguiente a la fecha de corte para los RCI y los </w:t>
            </w:r>
            <w:r w:rsidR="0071422C" w:rsidRPr="00632D1F">
              <w:rPr>
                <w:rFonts w:cs="Times New Roman"/>
                <w:bCs/>
                <w:sz w:val="20"/>
                <w:szCs w:val="20"/>
              </w:rPr>
              <w:t xml:space="preserve">5 primeros días hábiles del mes siguiente </w:t>
            </w:r>
            <w:r w:rsidR="00D8660F" w:rsidRPr="00632D1F">
              <w:rPr>
                <w:rFonts w:cs="Times New Roman"/>
                <w:bCs/>
                <w:sz w:val="20"/>
                <w:szCs w:val="20"/>
              </w:rPr>
              <w:t>para los RC.</w:t>
            </w:r>
          </w:p>
        </w:tc>
        <w:tc>
          <w:tcPr>
            <w:tcW w:w="2688" w:type="dxa"/>
          </w:tcPr>
          <w:p w14:paraId="4FAF7259" w14:textId="28071DF0" w:rsidR="0071422C" w:rsidRPr="00632D1F" w:rsidRDefault="0071422C" w:rsidP="0071422C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sz w:val="20"/>
                <w:szCs w:val="20"/>
                <w:lang w:val="es-CR"/>
              </w:rPr>
            </w:pP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Servicio de </w:t>
            </w:r>
            <w:r w:rsidR="002D4F6B"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>t</w:t>
            </w:r>
            <w:r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ransferencia de </w:t>
            </w:r>
            <w:r w:rsidR="007D0107" w:rsidRPr="00632D1F">
              <w:rPr>
                <w:rFonts w:cs="Times New Roman"/>
                <w:snapToGrid w:val="0"/>
                <w:sz w:val="20"/>
                <w:szCs w:val="20"/>
                <w:lang w:val="es-CR"/>
              </w:rPr>
              <w:t xml:space="preserve">información </w:t>
            </w:r>
            <w:r w:rsidR="002F4FEC">
              <w:rPr>
                <w:rFonts w:cs="Times New Roman"/>
                <w:snapToGrid w:val="0"/>
                <w:sz w:val="20"/>
                <w:szCs w:val="20"/>
                <w:lang w:val="es-CR"/>
              </w:rPr>
              <w:t>de la VES</w:t>
            </w:r>
          </w:p>
        </w:tc>
      </w:tr>
      <w:tr w:rsidR="0071422C" w:rsidRPr="00632D1F" w14:paraId="774EBF65" w14:textId="77777777" w:rsidTr="7091C2A6">
        <w:tc>
          <w:tcPr>
            <w:tcW w:w="2693" w:type="dxa"/>
          </w:tcPr>
          <w:p w14:paraId="276119DB" w14:textId="77777777" w:rsidR="0071422C" w:rsidRPr="00632D1F" w:rsidRDefault="0071422C" w:rsidP="0071422C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>Estados financieros intermedios y anuales, internos</w:t>
            </w:r>
          </w:p>
        </w:tc>
        <w:tc>
          <w:tcPr>
            <w:tcW w:w="1461" w:type="dxa"/>
          </w:tcPr>
          <w:p w14:paraId="5329A379" w14:textId="6D5A925D" w:rsidR="0071422C" w:rsidRPr="00632D1F" w:rsidRDefault="00807A9F" w:rsidP="0071422C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T</w:t>
            </w:r>
            <w:r w:rsidR="0071422C" w:rsidRPr="00632D1F">
              <w:rPr>
                <w:rFonts w:cs="Times New Roman"/>
                <w:bCs/>
                <w:sz w:val="20"/>
                <w:szCs w:val="20"/>
              </w:rPr>
              <w:t>rimestral</w:t>
            </w:r>
          </w:p>
        </w:tc>
        <w:tc>
          <w:tcPr>
            <w:tcW w:w="0" w:type="auto"/>
          </w:tcPr>
          <w:p w14:paraId="7F714CA5" w14:textId="77777777" w:rsidR="0071422C" w:rsidRPr="00632D1F" w:rsidRDefault="0071422C" w:rsidP="0071422C">
            <w:pPr>
              <w:widowControl w:val="0"/>
              <w:spacing w:line="240" w:lineRule="auto"/>
              <w:jc w:val="both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632D1F">
              <w:rPr>
                <w:rFonts w:cs="Times New Roman"/>
                <w:bCs/>
                <w:color w:val="000000" w:themeColor="text1"/>
                <w:sz w:val="20"/>
                <w:szCs w:val="20"/>
              </w:rPr>
              <w:t>El último día hábil del mes siguiente posterior al cierre trimestral o corte anual.</w:t>
            </w:r>
          </w:p>
        </w:tc>
        <w:tc>
          <w:tcPr>
            <w:tcW w:w="2688" w:type="dxa"/>
          </w:tcPr>
          <w:p w14:paraId="3896412A" w14:textId="58886A01" w:rsidR="0071422C" w:rsidRPr="00632D1F" w:rsidRDefault="008839F6" w:rsidP="0071422C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</w:pPr>
            <w:r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>Los estados financieros deberán venir firmados</w:t>
            </w:r>
            <w:r w:rsidR="00C71FF8"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>, remitidos en</w:t>
            </w:r>
            <w:r w:rsidR="0071422C"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 xml:space="preserve"> formato electrónico</w:t>
            </w:r>
            <w:r w:rsidR="00C71FF8"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 xml:space="preserve"> y protegidos mediante </w:t>
            </w:r>
            <w:r w:rsidR="0071422C"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>firma digital.</w:t>
            </w:r>
          </w:p>
        </w:tc>
      </w:tr>
      <w:tr w:rsidR="0071422C" w:rsidRPr="00632D1F" w14:paraId="460AF9AA" w14:textId="77777777" w:rsidTr="7091C2A6">
        <w:tc>
          <w:tcPr>
            <w:tcW w:w="2693" w:type="dxa"/>
          </w:tcPr>
          <w:p w14:paraId="23118F69" w14:textId="77777777" w:rsidR="0071422C" w:rsidRPr="00632D1F" w:rsidRDefault="0071422C" w:rsidP="0071422C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 xml:space="preserve">Estados financieros auditados </w:t>
            </w:r>
          </w:p>
        </w:tc>
        <w:tc>
          <w:tcPr>
            <w:tcW w:w="1461" w:type="dxa"/>
          </w:tcPr>
          <w:p w14:paraId="73B78396" w14:textId="77777777" w:rsidR="0071422C" w:rsidRPr="00632D1F" w:rsidRDefault="0071422C" w:rsidP="0071422C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>Anual</w:t>
            </w:r>
          </w:p>
        </w:tc>
        <w:tc>
          <w:tcPr>
            <w:tcW w:w="0" w:type="auto"/>
          </w:tcPr>
          <w:p w14:paraId="62400687" w14:textId="77777777" w:rsidR="0071422C" w:rsidRPr="00632D1F" w:rsidRDefault="0071422C" w:rsidP="0071422C">
            <w:pPr>
              <w:pStyle w:val="Textoindependiente"/>
              <w:spacing w:before="60" w:after="240"/>
              <w:jc w:val="both"/>
              <w:rPr>
                <w:b w:val="0"/>
                <w:color w:val="000000" w:themeColor="text1"/>
                <w:sz w:val="20"/>
                <w:szCs w:val="20"/>
                <w:lang w:val="es-CR"/>
              </w:rPr>
            </w:pPr>
            <w:r w:rsidRPr="00632D1F">
              <w:rPr>
                <w:b w:val="0"/>
                <w:color w:val="000000" w:themeColor="text1"/>
                <w:sz w:val="20"/>
                <w:szCs w:val="20"/>
                <w:lang w:val="es-CR"/>
              </w:rPr>
              <w:t>40 días hábiles después del cierre anual.</w:t>
            </w:r>
          </w:p>
        </w:tc>
        <w:tc>
          <w:tcPr>
            <w:tcW w:w="2688" w:type="dxa"/>
          </w:tcPr>
          <w:p w14:paraId="4D475EC1" w14:textId="52E94A43" w:rsidR="0071422C" w:rsidRPr="00632D1F" w:rsidRDefault="000A086E" w:rsidP="0071422C">
            <w:pPr>
              <w:pStyle w:val="Textoindependiente"/>
              <w:spacing w:before="60" w:after="240"/>
              <w:jc w:val="both"/>
              <w:rPr>
                <w:b w:val="0"/>
                <w:color w:val="000000" w:themeColor="text1"/>
                <w:sz w:val="20"/>
                <w:szCs w:val="20"/>
                <w:lang w:val="es-CR"/>
              </w:rPr>
            </w:pPr>
            <w:r w:rsidRPr="00510548">
              <w:rPr>
                <w:b w:val="0"/>
                <w:color w:val="000000" w:themeColor="text1"/>
                <w:sz w:val="20"/>
                <w:szCs w:val="20"/>
                <w:lang w:val="es-CR"/>
              </w:rPr>
              <w:t>Los estados financieros deberán venir firmados, remitidos en formato electrónico y protegidos mediante firma digital</w:t>
            </w:r>
            <w:r w:rsidR="0071422C" w:rsidRPr="00632D1F">
              <w:rPr>
                <w:b w:val="0"/>
                <w:color w:val="000000" w:themeColor="text1"/>
                <w:sz w:val="20"/>
                <w:szCs w:val="20"/>
                <w:lang w:val="es-CR"/>
              </w:rPr>
              <w:t xml:space="preserve">. </w:t>
            </w:r>
          </w:p>
        </w:tc>
      </w:tr>
      <w:tr w:rsidR="002659C0" w:rsidRPr="00632D1F" w14:paraId="7F2C6C35" w14:textId="77777777" w:rsidTr="7091C2A6">
        <w:tc>
          <w:tcPr>
            <w:tcW w:w="2693" w:type="dxa"/>
          </w:tcPr>
          <w:p w14:paraId="0F02FF9D" w14:textId="02A40A0B" w:rsidR="002659C0" w:rsidRPr="00883A30" w:rsidRDefault="002659C0" w:rsidP="002659C0">
            <w:pPr>
              <w:pStyle w:val="Textoindependiente"/>
              <w:spacing w:before="60" w:after="240"/>
              <w:jc w:val="both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883A30">
              <w:rPr>
                <w:b w:val="0"/>
                <w:bCs w:val="0"/>
                <w:sz w:val="20"/>
                <w:szCs w:val="20"/>
              </w:rPr>
              <w:t xml:space="preserve">Reporte de manejo de liquidez (según lo establecido en el Manual de información) </w:t>
            </w:r>
          </w:p>
        </w:tc>
        <w:tc>
          <w:tcPr>
            <w:tcW w:w="1461" w:type="dxa"/>
          </w:tcPr>
          <w:p w14:paraId="0114E6F5" w14:textId="6A2208E2" w:rsidR="002659C0" w:rsidRPr="00883A30" w:rsidRDefault="002659C0" w:rsidP="002659C0">
            <w:pPr>
              <w:pStyle w:val="Textoindependiente"/>
              <w:spacing w:before="60" w:after="240"/>
              <w:jc w:val="both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883A30">
              <w:rPr>
                <w:b w:val="0"/>
                <w:bCs w:val="0"/>
                <w:sz w:val="20"/>
                <w:szCs w:val="20"/>
              </w:rPr>
              <w:t>Mensual. Sin embargo, la Superintendencia podrá variar la periodicidad de remisión de este reporte cuando las condiciones del mercado así lo ameriten.</w:t>
            </w:r>
          </w:p>
        </w:tc>
        <w:tc>
          <w:tcPr>
            <w:tcW w:w="0" w:type="auto"/>
          </w:tcPr>
          <w:p w14:paraId="19ECEBF8" w14:textId="36BBAB7C" w:rsidR="002659C0" w:rsidRPr="00883A30" w:rsidRDefault="002659C0" w:rsidP="002659C0">
            <w:pPr>
              <w:pStyle w:val="Textoindependiente"/>
              <w:spacing w:before="60" w:after="240"/>
              <w:jc w:val="both"/>
              <w:rPr>
                <w:b w:val="0"/>
                <w:bCs w:val="0"/>
                <w:color w:val="000000" w:themeColor="text1"/>
                <w:sz w:val="20"/>
                <w:szCs w:val="20"/>
                <w:lang w:val="es-CR"/>
              </w:rPr>
            </w:pPr>
            <w:r w:rsidRPr="00883A30">
              <w:rPr>
                <w:b w:val="0"/>
                <w:bCs w:val="0"/>
                <w:sz w:val="20"/>
                <w:szCs w:val="20"/>
              </w:rPr>
              <w:t xml:space="preserve">A más tardar el día y medio hábil siguiente a la fecha de corte para los Regímenes de Capitalización Individual (RCI) y los 5 primeros días hábiles del mes siguiente para los Regímenes de Capitalización Colectiva (RC). </w:t>
            </w:r>
          </w:p>
        </w:tc>
        <w:tc>
          <w:tcPr>
            <w:tcW w:w="2688" w:type="dxa"/>
          </w:tcPr>
          <w:p w14:paraId="31254DF5" w14:textId="58AE754F" w:rsidR="002659C0" w:rsidRPr="00883A30" w:rsidRDefault="002659C0" w:rsidP="002659C0">
            <w:pPr>
              <w:pStyle w:val="Textoindependiente"/>
              <w:spacing w:before="60" w:after="240"/>
              <w:jc w:val="both"/>
              <w:rPr>
                <w:b w:val="0"/>
                <w:bCs w:val="0"/>
                <w:color w:val="000000" w:themeColor="text1"/>
                <w:sz w:val="20"/>
                <w:szCs w:val="20"/>
                <w:lang w:val="es-CR"/>
              </w:rPr>
            </w:pPr>
            <w:r w:rsidRPr="00883A30">
              <w:rPr>
                <w:b w:val="0"/>
                <w:bCs w:val="0"/>
                <w:sz w:val="20"/>
                <w:szCs w:val="20"/>
              </w:rPr>
              <w:t xml:space="preserve">Servicio de transferencia de información de la VES </w:t>
            </w:r>
          </w:p>
        </w:tc>
      </w:tr>
      <w:tr w:rsidR="002659C0" w:rsidRPr="00632D1F" w14:paraId="618B3D1E" w14:textId="77777777" w:rsidTr="7091C2A6">
        <w:tc>
          <w:tcPr>
            <w:tcW w:w="2693" w:type="dxa"/>
          </w:tcPr>
          <w:p w14:paraId="1750600C" w14:textId="37D7398E" w:rsidR="002659C0" w:rsidRPr="00883A30" w:rsidRDefault="002659C0" w:rsidP="002659C0">
            <w:pPr>
              <w:pStyle w:val="Textoindependiente"/>
              <w:spacing w:before="60" w:after="240"/>
              <w:jc w:val="both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883A30">
              <w:rPr>
                <w:b w:val="0"/>
                <w:bCs w:val="0"/>
                <w:sz w:val="20"/>
                <w:szCs w:val="20"/>
              </w:rPr>
              <w:t>Reporte de movimientos de manejo de liquidez</w:t>
            </w:r>
          </w:p>
        </w:tc>
        <w:tc>
          <w:tcPr>
            <w:tcW w:w="1461" w:type="dxa"/>
          </w:tcPr>
          <w:p w14:paraId="01815C78" w14:textId="56C7DEF7" w:rsidR="002659C0" w:rsidRPr="00883A30" w:rsidRDefault="002659C0" w:rsidP="002659C0">
            <w:pPr>
              <w:pStyle w:val="Textoindependiente"/>
              <w:spacing w:before="60" w:after="240"/>
              <w:jc w:val="both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883A30">
              <w:rPr>
                <w:b w:val="0"/>
                <w:bCs w:val="0"/>
                <w:sz w:val="20"/>
                <w:szCs w:val="20"/>
              </w:rPr>
              <w:t>Mensual. Sin embargo, la Superintendencia podrá variar la periodicidad de remisión de este reporte cuando las condiciones del mercado así lo ameriten.</w:t>
            </w:r>
          </w:p>
        </w:tc>
        <w:tc>
          <w:tcPr>
            <w:tcW w:w="0" w:type="auto"/>
          </w:tcPr>
          <w:p w14:paraId="5AC50C3B" w14:textId="4CC19687" w:rsidR="002659C0" w:rsidRPr="00883A30" w:rsidRDefault="002659C0" w:rsidP="002659C0">
            <w:pPr>
              <w:pStyle w:val="Textoindependiente"/>
              <w:spacing w:before="60" w:after="240"/>
              <w:jc w:val="both"/>
              <w:rPr>
                <w:b w:val="0"/>
                <w:bCs w:val="0"/>
                <w:color w:val="000000" w:themeColor="text1"/>
                <w:sz w:val="20"/>
                <w:szCs w:val="20"/>
                <w:lang w:val="es-CR"/>
              </w:rPr>
            </w:pPr>
            <w:r w:rsidRPr="00883A30">
              <w:rPr>
                <w:b w:val="0"/>
                <w:bCs w:val="0"/>
                <w:sz w:val="20"/>
                <w:szCs w:val="20"/>
              </w:rPr>
              <w:t xml:space="preserve">A más tardar el día y medio hábil siguiente a la fecha de corte para los Regímenes de Capitalización Individual (RCI) y los 5 primeros días hábiles del mes siguiente para los Regímenes de Capitalización Colectiva (RC). </w:t>
            </w:r>
          </w:p>
        </w:tc>
        <w:tc>
          <w:tcPr>
            <w:tcW w:w="2688" w:type="dxa"/>
          </w:tcPr>
          <w:p w14:paraId="54732CD1" w14:textId="39B888FE" w:rsidR="002659C0" w:rsidRPr="00883A30" w:rsidRDefault="002659C0" w:rsidP="002659C0">
            <w:pPr>
              <w:pStyle w:val="Textoindependiente"/>
              <w:spacing w:before="60" w:after="240"/>
              <w:jc w:val="both"/>
              <w:rPr>
                <w:b w:val="0"/>
                <w:bCs w:val="0"/>
                <w:color w:val="000000" w:themeColor="text1"/>
                <w:sz w:val="20"/>
                <w:szCs w:val="20"/>
                <w:lang w:val="es-CR"/>
              </w:rPr>
            </w:pPr>
            <w:r w:rsidRPr="00883A30">
              <w:rPr>
                <w:b w:val="0"/>
                <w:bCs w:val="0"/>
                <w:sz w:val="20"/>
                <w:szCs w:val="20"/>
              </w:rPr>
              <w:t>Servicio de transferencia de información de la VES</w:t>
            </w:r>
          </w:p>
        </w:tc>
      </w:tr>
      <w:tr w:rsidR="0071422C" w:rsidRPr="00632D1F" w14:paraId="314CE9A6" w14:textId="77777777" w:rsidTr="002420E0">
        <w:trPr>
          <w:trHeight w:val="418"/>
        </w:trPr>
        <w:tc>
          <w:tcPr>
            <w:tcW w:w="8930" w:type="dxa"/>
            <w:gridSpan w:val="4"/>
          </w:tcPr>
          <w:p w14:paraId="6433C657" w14:textId="0EB66C98" w:rsidR="0071422C" w:rsidRPr="00632D1F" w:rsidRDefault="0071422C" w:rsidP="0071422C">
            <w:pPr>
              <w:widowControl w:val="0"/>
              <w:spacing w:before="4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632D1F">
              <w:rPr>
                <w:rFonts w:cs="Times New Roman"/>
                <w:b/>
                <w:bCs/>
                <w:color w:val="000000" w:themeColor="text1"/>
                <w:sz w:val="22"/>
              </w:rPr>
              <w:lastRenderedPageBreak/>
              <w:t xml:space="preserve">Regímenes de </w:t>
            </w:r>
            <w:r w:rsidR="00EF4318">
              <w:rPr>
                <w:rFonts w:cs="Times New Roman"/>
                <w:b/>
                <w:bCs/>
                <w:color w:val="000000" w:themeColor="text1"/>
                <w:sz w:val="22"/>
              </w:rPr>
              <w:t>P</w:t>
            </w:r>
            <w:r w:rsidRPr="00632D1F">
              <w:rPr>
                <w:rFonts w:cs="Times New Roman"/>
                <w:b/>
                <w:bCs/>
                <w:color w:val="000000" w:themeColor="text1"/>
                <w:sz w:val="22"/>
              </w:rPr>
              <w:t xml:space="preserve">ensiones </w:t>
            </w:r>
            <w:r w:rsidR="00EF4318">
              <w:rPr>
                <w:rFonts w:cs="Times New Roman"/>
                <w:b/>
                <w:bCs/>
                <w:color w:val="000000" w:themeColor="text1"/>
                <w:sz w:val="22"/>
              </w:rPr>
              <w:t>B</w:t>
            </w:r>
            <w:r w:rsidRPr="00632D1F">
              <w:rPr>
                <w:rFonts w:cs="Times New Roman"/>
                <w:b/>
                <w:bCs/>
                <w:color w:val="000000" w:themeColor="text1"/>
                <w:sz w:val="22"/>
              </w:rPr>
              <w:t xml:space="preserve">ásicos y </w:t>
            </w:r>
            <w:r w:rsidR="00EF4318">
              <w:rPr>
                <w:rFonts w:cs="Times New Roman"/>
                <w:b/>
                <w:bCs/>
                <w:color w:val="000000" w:themeColor="text1"/>
                <w:sz w:val="22"/>
              </w:rPr>
              <w:t>C</w:t>
            </w:r>
            <w:r w:rsidRPr="00632D1F">
              <w:rPr>
                <w:rFonts w:cs="Times New Roman"/>
                <w:b/>
                <w:bCs/>
                <w:color w:val="000000" w:themeColor="text1"/>
                <w:sz w:val="22"/>
              </w:rPr>
              <w:t>omplementarios</w:t>
            </w:r>
          </w:p>
        </w:tc>
      </w:tr>
      <w:tr w:rsidR="0071422C" w:rsidRPr="00632D1F" w14:paraId="59EE4E02" w14:textId="77777777" w:rsidTr="7091C2A6">
        <w:tc>
          <w:tcPr>
            <w:tcW w:w="2693" w:type="dxa"/>
          </w:tcPr>
          <w:p w14:paraId="6EAC4A50" w14:textId="77777777" w:rsidR="0071422C" w:rsidRPr="00632D1F" w:rsidRDefault="0071422C" w:rsidP="0071422C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 xml:space="preserve">Reporte de cartera de préstamos. </w:t>
            </w:r>
          </w:p>
        </w:tc>
        <w:tc>
          <w:tcPr>
            <w:tcW w:w="1461" w:type="dxa"/>
          </w:tcPr>
          <w:p w14:paraId="62ABC410" w14:textId="77777777" w:rsidR="0071422C" w:rsidRPr="00632D1F" w:rsidRDefault="0071422C" w:rsidP="0071422C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2D1F">
              <w:rPr>
                <w:rFonts w:cs="Times New Roman"/>
                <w:bCs/>
                <w:sz w:val="20"/>
                <w:szCs w:val="20"/>
              </w:rPr>
              <w:t>Mensual</w:t>
            </w:r>
          </w:p>
        </w:tc>
        <w:tc>
          <w:tcPr>
            <w:tcW w:w="0" w:type="auto"/>
          </w:tcPr>
          <w:p w14:paraId="728D9451" w14:textId="77777777" w:rsidR="0071422C" w:rsidRPr="00632D1F" w:rsidRDefault="0071422C" w:rsidP="0071422C">
            <w:pPr>
              <w:widowControl w:val="0"/>
              <w:spacing w:line="240" w:lineRule="auto"/>
              <w:jc w:val="both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632D1F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5 primeros días hábiles del mes siguiente </w:t>
            </w:r>
          </w:p>
        </w:tc>
        <w:tc>
          <w:tcPr>
            <w:tcW w:w="2688" w:type="dxa"/>
          </w:tcPr>
          <w:p w14:paraId="11CBFE7A" w14:textId="71DD727C" w:rsidR="0071422C" w:rsidRPr="00632D1F" w:rsidRDefault="0071422C" w:rsidP="00471B90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</w:pPr>
            <w:r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 xml:space="preserve">En hoja electrónica, por correo electrónico.  </w:t>
            </w:r>
          </w:p>
        </w:tc>
      </w:tr>
      <w:tr w:rsidR="002D4F6B" w:rsidRPr="00632D1F" w14:paraId="3505489D" w14:textId="77777777" w:rsidTr="7091C2A6">
        <w:tc>
          <w:tcPr>
            <w:tcW w:w="2693" w:type="dxa"/>
          </w:tcPr>
          <w:p w14:paraId="26338BB4" w14:textId="77777777" w:rsidR="002D4F6B" w:rsidRPr="00632D1F" w:rsidRDefault="002D4F6B" w:rsidP="002D4F6B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>Reportes de afiliados (datos personales y de movimientos)</w:t>
            </w:r>
          </w:p>
        </w:tc>
        <w:tc>
          <w:tcPr>
            <w:tcW w:w="1461" w:type="dxa"/>
          </w:tcPr>
          <w:p w14:paraId="22833E3A" w14:textId="77777777" w:rsidR="002D4F6B" w:rsidRPr="00632D1F" w:rsidRDefault="002D4F6B" w:rsidP="002D4F6B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>Mensual</w:t>
            </w:r>
          </w:p>
        </w:tc>
        <w:tc>
          <w:tcPr>
            <w:tcW w:w="0" w:type="auto"/>
          </w:tcPr>
          <w:p w14:paraId="1FF6F5A3" w14:textId="77777777" w:rsidR="002D4F6B" w:rsidRPr="00632D1F" w:rsidRDefault="002D4F6B" w:rsidP="002D4F6B">
            <w:pPr>
              <w:pStyle w:val="Textoindependiente"/>
              <w:spacing w:before="60" w:after="240"/>
              <w:jc w:val="both"/>
              <w:rPr>
                <w:b w:val="0"/>
                <w:color w:val="000000" w:themeColor="text1"/>
                <w:sz w:val="20"/>
                <w:szCs w:val="20"/>
                <w:lang w:val="es-CR"/>
              </w:rPr>
            </w:pPr>
            <w:r w:rsidRPr="00632D1F">
              <w:rPr>
                <w:b w:val="0"/>
                <w:color w:val="000000" w:themeColor="text1"/>
                <w:sz w:val="20"/>
                <w:szCs w:val="20"/>
                <w:lang w:val="es-CR"/>
              </w:rPr>
              <w:t>5 primeros días hábiles del mes siguiente</w:t>
            </w:r>
          </w:p>
        </w:tc>
        <w:tc>
          <w:tcPr>
            <w:tcW w:w="2688" w:type="dxa"/>
          </w:tcPr>
          <w:p w14:paraId="603A3B64" w14:textId="561A0F1E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</w:pPr>
            <w:r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 xml:space="preserve">Servicio de transferencia de </w:t>
            </w:r>
            <w:r w:rsidR="007D0107"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 xml:space="preserve">información </w:t>
            </w:r>
            <w:r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>de</w:t>
            </w:r>
            <w:r w:rsidR="00471B90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 xml:space="preserve"> la</w:t>
            </w:r>
            <w:r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 xml:space="preserve"> VES</w:t>
            </w:r>
          </w:p>
        </w:tc>
      </w:tr>
      <w:tr w:rsidR="002D4F6B" w:rsidRPr="00632D1F" w14:paraId="42A29782" w14:textId="77777777" w:rsidTr="7091C2A6">
        <w:tc>
          <w:tcPr>
            <w:tcW w:w="2693" w:type="dxa"/>
          </w:tcPr>
          <w:p w14:paraId="26BF8E59" w14:textId="77777777" w:rsidR="002D4F6B" w:rsidRPr="00632D1F" w:rsidRDefault="002D4F6B" w:rsidP="002D4F6B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>Reportes de pensionados (pensionados, movimientos y beneficiarios)</w:t>
            </w:r>
          </w:p>
        </w:tc>
        <w:tc>
          <w:tcPr>
            <w:tcW w:w="1461" w:type="dxa"/>
          </w:tcPr>
          <w:p w14:paraId="1DC4A19C" w14:textId="77777777" w:rsidR="002D4F6B" w:rsidRPr="00632D1F" w:rsidRDefault="002D4F6B" w:rsidP="002D4F6B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>Mensual</w:t>
            </w:r>
          </w:p>
        </w:tc>
        <w:tc>
          <w:tcPr>
            <w:tcW w:w="0" w:type="auto"/>
          </w:tcPr>
          <w:p w14:paraId="1B7896C5" w14:textId="77777777" w:rsidR="002D4F6B" w:rsidRPr="00632D1F" w:rsidRDefault="002D4F6B" w:rsidP="002D4F6B">
            <w:pPr>
              <w:pStyle w:val="Textoindependiente"/>
              <w:spacing w:before="60" w:after="240"/>
              <w:jc w:val="both"/>
              <w:rPr>
                <w:b w:val="0"/>
                <w:color w:val="000000" w:themeColor="text1"/>
                <w:sz w:val="20"/>
                <w:szCs w:val="20"/>
                <w:lang w:val="es-CR"/>
              </w:rPr>
            </w:pPr>
            <w:r w:rsidRPr="00632D1F">
              <w:rPr>
                <w:b w:val="0"/>
                <w:color w:val="000000" w:themeColor="text1"/>
                <w:sz w:val="20"/>
                <w:szCs w:val="20"/>
                <w:lang w:val="es-CR"/>
              </w:rPr>
              <w:t>5 primeros días hábiles del mes siguiente</w:t>
            </w:r>
          </w:p>
        </w:tc>
        <w:tc>
          <w:tcPr>
            <w:tcW w:w="2688" w:type="dxa"/>
          </w:tcPr>
          <w:p w14:paraId="7C3CC6C6" w14:textId="27A48E12" w:rsidR="002D4F6B" w:rsidRPr="00632D1F" w:rsidRDefault="002D4F6B" w:rsidP="002D4F6B">
            <w:pPr>
              <w:widowControl w:val="0"/>
              <w:spacing w:line="240" w:lineRule="auto"/>
              <w:jc w:val="both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</w:pPr>
            <w:r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 xml:space="preserve">Servicio de transferencia de </w:t>
            </w:r>
            <w:r w:rsidR="007D0107"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 xml:space="preserve">información </w:t>
            </w:r>
            <w:r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>de</w:t>
            </w:r>
            <w:r w:rsidR="00471B90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 xml:space="preserve"> </w:t>
            </w:r>
            <w:r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>l</w:t>
            </w:r>
            <w:r w:rsidR="00471B90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>a</w:t>
            </w:r>
            <w:r w:rsidRPr="00632D1F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es-CR"/>
              </w:rPr>
              <w:t xml:space="preserve"> VES</w:t>
            </w:r>
          </w:p>
        </w:tc>
      </w:tr>
      <w:tr w:rsidR="009E6AFB" w:rsidRPr="00632D1F" w14:paraId="52C34C89" w14:textId="77777777" w:rsidTr="7091C2A6">
        <w:tc>
          <w:tcPr>
            <w:tcW w:w="2693" w:type="dxa"/>
          </w:tcPr>
          <w:p w14:paraId="729B408C" w14:textId="008FF10C" w:rsidR="009E6AFB" w:rsidRPr="00632D1F" w:rsidRDefault="009E6AFB" w:rsidP="009E6AFB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 xml:space="preserve">Valuación </w:t>
            </w:r>
            <w:r w:rsidR="00EF4318">
              <w:rPr>
                <w:b w:val="0"/>
                <w:sz w:val="20"/>
                <w:szCs w:val="20"/>
                <w:lang w:val="es-CR"/>
              </w:rPr>
              <w:t>A</w:t>
            </w:r>
            <w:r w:rsidRPr="00632D1F">
              <w:rPr>
                <w:b w:val="0"/>
                <w:sz w:val="20"/>
                <w:szCs w:val="20"/>
                <w:lang w:val="es-CR"/>
              </w:rPr>
              <w:t>ctuarial</w:t>
            </w:r>
          </w:p>
        </w:tc>
        <w:tc>
          <w:tcPr>
            <w:tcW w:w="1461" w:type="dxa"/>
          </w:tcPr>
          <w:p w14:paraId="49083165" w14:textId="77777777" w:rsidR="009E6AFB" w:rsidRPr="00632D1F" w:rsidRDefault="009E6AFB" w:rsidP="009E6AFB">
            <w:pPr>
              <w:pStyle w:val="Textoindependiente"/>
              <w:spacing w:before="60" w:after="240"/>
              <w:jc w:val="both"/>
              <w:rPr>
                <w:b w:val="0"/>
                <w:sz w:val="20"/>
                <w:szCs w:val="20"/>
                <w:lang w:val="es-CR"/>
              </w:rPr>
            </w:pPr>
            <w:r w:rsidRPr="00632D1F">
              <w:rPr>
                <w:b w:val="0"/>
                <w:sz w:val="20"/>
                <w:szCs w:val="20"/>
                <w:lang w:val="es-CR"/>
              </w:rPr>
              <w:t>Anual</w:t>
            </w:r>
          </w:p>
        </w:tc>
        <w:tc>
          <w:tcPr>
            <w:tcW w:w="0" w:type="auto"/>
          </w:tcPr>
          <w:p w14:paraId="5A5BD751" w14:textId="77777777" w:rsidR="009E6AFB" w:rsidRPr="00632D1F" w:rsidRDefault="009E6AFB" w:rsidP="009E6AFB">
            <w:pPr>
              <w:pStyle w:val="Textoindependiente"/>
              <w:spacing w:before="60" w:after="240"/>
              <w:jc w:val="both"/>
              <w:rPr>
                <w:b w:val="0"/>
                <w:color w:val="000000" w:themeColor="text1"/>
                <w:sz w:val="20"/>
                <w:szCs w:val="20"/>
                <w:lang w:val="es-CR"/>
              </w:rPr>
            </w:pPr>
            <w:r w:rsidRPr="00632D1F">
              <w:rPr>
                <w:b w:val="0"/>
                <w:color w:val="000000" w:themeColor="text1"/>
                <w:sz w:val="20"/>
                <w:szCs w:val="20"/>
                <w:lang w:val="es-CR"/>
              </w:rPr>
              <w:t>Último día hábil del mes de marzo</w:t>
            </w:r>
          </w:p>
        </w:tc>
        <w:tc>
          <w:tcPr>
            <w:tcW w:w="2688" w:type="dxa"/>
          </w:tcPr>
          <w:p w14:paraId="10602049" w14:textId="66605586" w:rsidR="009E6AFB" w:rsidRPr="00632D1F" w:rsidRDefault="009C633E" w:rsidP="009E6AFB">
            <w:pPr>
              <w:pStyle w:val="Textoindependiente"/>
              <w:spacing w:before="60" w:after="240"/>
              <w:jc w:val="both"/>
              <w:rPr>
                <w:b w:val="0"/>
                <w:color w:val="000000" w:themeColor="text1"/>
                <w:sz w:val="20"/>
                <w:szCs w:val="20"/>
                <w:lang w:val="es-CR"/>
              </w:rPr>
            </w:pPr>
            <w:r w:rsidRPr="00632D1F">
              <w:rPr>
                <w:b w:val="0"/>
                <w:snapToGrid w:val="0"/>
                <w:color w:val="000000" w:themeColor="text1"/>
                <w:sz w:val="20"/>
                <w:szCs w:val="20"/>
                <w:lang w:val="es-CR"/>
              </w:rPr>
              <w:t>D</w:t>
            </w:r>
            <w:r w:rsidR="009E6AFB" w:rsidRPr="00632D1F">
              <w:rPr>
                <w:b w:val="0"/>
                <w:snapToGrid w:val="0"/>
                <w:color w:val="000000" w:themeColor="text1"/>
                <w:sz w:val="20"/>
                <w:szCs w:val="20"/>
                <w:lang w:val="es-CR"/>
              </w:rPr>
              <w:t>eberá venir firmad</w:t>
            </w:r>
            <w:r w:rsidRPr="00632D1F">
              <w:rPr>
                <w:b w:val="0"/>
                <w:snapToGrid w:val="0"/>
                <w:color w:val="000000" w:themeColor="text1"/>
                <w:sz w:val="20"/>
                <w:szCs w:val="20"/>
                <w:lang w:val="es-CR"/>
              </w:rPr>
              <w:t>a</w:t>
            </w:r>
            <w:r w:rsidR="009E6AFB" w:rsidRPr="00632D1F">
              <w:rPr>
                <w:b w:val="0"/>
                <w:snapToGrid w:val="0"/>
                <w:color w:val="000000" w:themeColor="text1"/>
                <w:sz w:val="20"/>
                <w:szCs w:val="20"/>
                <w:lang w:val="es-CR"/>
              </w:rPr>
              <w:t>, remitid</w:t>
            </w:r>
            <w:r w:rsidR="000A2AF4" w:rsidRPr="00632D1F">
              <w:rPr>
                <w:b w:val="0"/>
                <w:snapToGrid w:val="0"/>
                <w:color w:val="000000" w:themeColor="text1"/>
                <w:sz w:val="20"/>
                <w:szCs w:val="20"/>
                <w:lang w:val="es-CR"/>
              </w:rPr>
              <w:t>a</w:t>
            </w:r>
            <w:r w:rsidR="009E6AFB" w:rsidRPr="00632D1F">
              <w:rPr>
                <w:b w:val="0"/>
                <w:snapToGrid w:val="0"/>
                <w:color w:val="000000" w:themeColor="text1"/>
                <w:sz w:val="20"/>
                <w:szCs w:val="20"/>
                <w:lang w:val="es-CR"/>
              </w:rPr>
              <w:t xml:space="preserve"> en formato electrónico y protegid</w:t>
            </w:r>
            <w:r w:rsidR="000A2AF4" w:rsidRPr="00632D1F">
              <w:rPr>
                <w:b w:val="0"/>
                <w:snapToGrid w:val="0"/>
                <w:color w:val="000000" w:themeColor="text1"/>
                <w:sz w:val="20"/>
                <w:szCs w:val="20"/>
                <w:lang w:val="es-CR"/>
              </w:rPr>
              <w:t>a</w:t>
            </w:r>
            <w:r w:rsidR="009E6AFB" w:rsidRPr="00632D1F">
              <w:rPr>
                <w:b w:val="0"/>
                <w:snapToGrid w:val="0"/>
                <w:color w:val="000000" w:themeColor="text1"/>
                <w:sz w:val="20"/>
                <w:szCs w:val="20"/>
                <w:lang w:val="es-CR"/>
              </w:rPr>
              <w:t xml:space="preserve"> mediante firma digital.</w:t>
            </w:r>
          </w:p>
        </w:tc>
      </w:tr>
    </w:tbl>
    <w:p w14:paraId="4BF45AA0" w14:textId="77777777" w:rsidR="005F4B82" w:rsidRPr="00632D1F" w:rsidRDefault="005F4B82" w:rsidP="00A7032A">
      <w:pPr>
        <w:spacing w:line="240" w:lineRule="auto"/>
        <w:jc w:val="both"/>
        <w:rPr>
          <w:rFonts w:cs="Times New Roman"/>
          <w:lang w:val="es-CR"/>
        </w:rPr>
      </w:pPr>
    </w:p>
    <w:p w14:paraId="78457EB1" w14:textId="77777777" w:rsidR="00A7032A" w:rsidRPr="00632D1F" w:rsidRDefault="00A7032A" w:rsidP="00A7032A">
      <w:pPr>
        <w:pStyle w:val="Sangra2detindependiente"/>
        <w:spacing w:after="60"/>
        <w:ind w:left="0"/>
      </w:pPr>
      <w:r w:rsidRPr="00632D1F">
        <w:t>Artículo 3.  Estados financieros</w:t>
      </w:r>
    </w:p>
    <w:p w14:paraId="3412F605" w14:textId="77777777" w:rsidR="0075367D" w:rsidRDefault="0075367D" w:rsidP="00A7032A">
      <w:pPr>
        <w:tabs>
          <w:tab w:val="left" w:pos="7513"/>
        </w:tabs>
        <w:spacing w:line="240" w:lineRule="auto"/>
        <w:ind w:right="51"/>
        <w:jc w:val="both"/>
        <w:rPr>
          <w:rFonts w:cs="Times New Roman"/>
        </w:rPr>
      </w:pPr>
    </w:p>
    <w:p w14:paraId="1D1A52F3" w14:textId="56CA9069" w:rsidR="00A7032A" w:rsidRPr="00632D1F" w:rsidRDefault="00A7032A" w:rsidP="00A7032A">
      <w:pPr>
        <w:tabs>
          <w:tab w:val="left" w:pos="7513"/>
        </w:tabs>
        <w:spacing w:line="240" w:lineRule="auto"/>
        <w:ind w:right="51"/>
        <w:jc w:val="both"/>
        <w:rPr>
          <w:rFonts w:cs="Times New Roman"/>
        </w:rPr>
      </w:pPr>
      <w:r w:rsidRPr="00632D1F">
        <w:rPr>
          <w:rFonts w:cs="Times New Roman"/>
        </w:rPr>
        <w:t xml:space="preserve">Las entidades </w:t>
      </w:r>
      <w:r w:rsidR="00300C68" w:rsidRPr="00632D1F">
        <w:rPr>
          <w:rFonts w:cs="Times New Roman"/>
        </w:rPr>
        <w:t xml:space="preserve">supervisadas </w:t>
      </w:r>
      <w:r w:rsidRPr="00632D1F">
        <w:rPr>
          <w:rFonts w:cs="Times New Roman"/>
        </w:rPr>
        <w:t>y los fondos administrados por éstas deben remitir</w:t>
      </w:r>
      <w:r w:rsidR="009F1D3E" w:rsidRPr="00632D1F">
        <w:rPr>
          <w:rFonts w:cs="Times New Roman"/>
        </w:rPr>
        <w:t>,</w:t>
      </w:r>
      <w:r w:rsidRPr="00632D1F">
        <w:rPr>
          <w:rFonts w:cs="Times New Roman"/>
        </w:rPr>
        <w:t xml:space="preserve"> trimestralmente </w:t>
      </w:r>
      <w:r w:rsidR="009F1D3E" w:rsidRPr="00632D1F">
        <w:rPr>
          <w:rFonts w:cs="Times New Roman"/>
        </w:rPr>
        <w:t>y de</w:t>
      </w:r>
      <w:r w:rsidR="007146D6" w:rsidRPr="00632D1F">
        <w:rPr>
          <w:rFonts w:cs="Times New Roman"/>
        </w:rPr>
        <w:t xml:space="preserve">ntro del plazo estipulado en el artículo anterior, </w:t>
      </w:r>
      <w:r w:rsidRPr="00632D1F">
        <w:rPr>
          <w:rFonts w:cs="Times New Roman"/>
        </w:rPr>
        <w:t>los estados que se detallan a continuación:</w:t>
      </w:r>
    </w:p>
    <w:p w14:paraId="15ECF77E" w14:textId="77777777" w:rsidR="00A7032A" w:rsidRPr="00632D1F" w:rsidRDefault="00A7032A" w:rsidP="00A7032A">
      <w:pPr>
        <w:pStyle w:val="Prrafodelista"/>
        <w:numPr>
          <w:ilvl w:val="0"/>
          <w:numId w:val="7"/>
        </w:numPr>
        <w:spacing w:before="120"/>
        <w:ind w:left="681" w:hanging="397"/>
        <w:contextualSpacing w:val="0"/>
        <w:jc w:val="both"/>
      </w:pPr>
      <w:r w:rsidRPr="00632D1F">
        <w:t>Balance de situación.</w:t>
      </w:r>
    </w:p>
    <w:p w14:paraId="3EDF4DA1" w14:textId="77777777" w:rsidR="00A7032A" w:rsidRPr="00632D1F" w:rsidRDefault="00A7032A" w:rsidP="00A7032A">
      <w:pPr>
        <w:pStyle w:val="Prrafodelista"/>
        <w:numPr>
          <w:ilvl w:val="0"/>
          <w:numId w:val="7"/>
        </w:numPr>
        <w:spacing w:before="120"/>
        <w:ind w:left="681" w:hanging="397"/>
        <w:contextualSpacing w:val="0"/>
        <w:jc w:val="both"/>
      </w:pPr>
      <w:r w:rsidRPr="00632D1F">
        <w:t>Estado de resultados.</w:t>
      </w:r>
    </w:p>
    <w:p w14:paraId="17B1DD73" w14:textId="77777777" w:rsidR="00A7032A" w:rsidRPr="00632D1F" w:rsidRDefault="00A7032A" w:rsidP="00A7032A">
      <w:pPr>
        <w:pStyle w:val="Prrafodelista"/>
        <w:numPr>
          <w:ilvl w:val="0"/>
          <w:numId w:val="7"/>
        </w:numPr>
        <w:spacing w:before="120"/>
        <w:ind w:left="681" w:hanging="397"/>
        <w:contextualSpacing w:val="0"/>
        <w:jc w:val="both"/>
      </w:pPr>
      <w:r w:rsidRPr="00632D1F">
        <w:t>Estado de cambios en el patrimonio.</w:t>
      </w:r>
    </w:p>
    <w:p w14:paraId="1D8954F4" w14:textId="77777777" w:rsidR="00A7032A" w:rsidRPr="00632D1F" w:rsidRDefault="00A7032A" w:rsidP="00A7032A">
      <w:pPr>
        <w:pStyle w:val="Prrafodelista"/>
        <w:numPr>
          <w:ilvl w:val="0"/>
          <w:numId w:val="7"/>
        </w:numPr>
        <w:spacing w:before="120"/>
        <w:ind w:left="681" w:hanging="397"/>
        <w:contextualSpacing w:val="0"/>
        <w:jc w:val="both"/>
      </w:pPr>
      <w:r w:rsidRPr="00632D1F">
        <w:t>Estado de flujos de efectivo.</w:t>
      </w:r>
    </w:p>
    <w:p w14:paraId="6E50F9F6" w14:textId="77777777" w:rsidR="0034704A" w:rsidRPr="00632D1F" w:rsidRDefault="0034704A" w:rsidP="00A7032A">
      <w:pPr>
        <w:tabs>
          <w:tab w:val="left" w:pos="1843"/>
        </w:tabs>
        <w:spacing w:line="240" w:lineRule="auto"/>
        <w:ind w:right="49"/>
        <w:jc w:val="both"/>
        <w:rPr>
          <w:rFonts w:cs="Times New Roman"/>
        </w:rPr>
      </w:pPr>
    </w:p>
    <w:p w14:paraId="0DF12109" w14:textId="4710B8FE" w:rsidR="00A7032A" w:rsidRPr="00BD0DFD" w:rsidRDefault="00A7032A" w:rsidP="00A7032A">
      <w:pPr>
        <w:tabs>
          <w:tab w:val="left" w:pos="1843"/>
        </w:tabs>
        <w:spacing w:line="240" w:lineRule="auto"/>
        <w:ind w:right="49"/>
        <w:jc w:val="both"/>
        <w:rPr>
          <w:rFonts w:cs="Times New Roman"/>
        </w:rPr>
      </w:pPr>
      <w:r w:rsidRPr="00632D1F">
        <w:rPr>
          <w:rFonts w:cs="Times New Roman"/>
        </w:rPr>
        <w:t xml:space="preserve">Dichos estados deben elaborarse según los lineamientos establecidos en el </w:t>
      </w:r>
      <w:r w:rsidRPr="00324D8D">
        <w:rPr>
          <w:rFonts w:cs="Times New Roman"/>
          <w:i/>
        </w:rPr>
        <w:t xml:space="preserve">Reglamento de </w:t>
      </w:r>
      <w:r w:rsidR="001E5991" w:rsidRPr="00324D8D">
        <w:rPr>
          <w:rFonts w:cs="Times New Roman"/>
          <w:i/>
        </w:rPr>
        <w:t>I</w:t>
      </w:r>
      <w:r w:rsidRPr="00324D8D">
        <w:rPr>
          <w:rFonts w:cs="Times New Roman"/>
          <w:i/>
        </w:rPr>
        <w:t xml:space="preserve">nformación </w:t>
      </w:r>
      <w:r w:rsidR="001E5991" w:rsidRPr="00324D8D">
        <w:rPr>
          <w:rFonts w:cs="Times New Roman"/>
          <w:i/>
        </w:rPr>
        <w:t>F</w:t>
      </w:r>
      <w:r w:rsidRPr="00324D8D">
        <w:rPr>
          <w:rFonts w:cs="Times New Roman"/>
          <w:i/>
        </w:rPr>
        <w:t>inanciera</w:t>
      </w:r>
      <w:r w:rsidRPr="00BD0DFD">
        <w:rPr>
          <w:rFonts w:cs="Times New Roman"/>
        </w:rPr>
        <w:t>.</w:t>
      </w:r>
    </w:p>
    <w:p w14:paraId="43504288" w14:textId="77777777" w:rsidR="00104D7C" w:rsidRDefault="00104D7C" w:rsidP="00A7032A">
      <w:pPr>
        <w:tabs>
          <w:tab w:val="left" w:pos="1843"/>
        </w:tabs>
        <w:spacing w:line="240" w:lineRule="auto"/>
        <w:ind w:right="49"/>
        <w:jc w:val="both"/>
        <w:rPr>
          <w:rFonts w:cs="Times New Roman"/>
        </w:rPr>
      </w:pPr>
    </w:p>
    <w:p w14:paraId="1E3F9918" w14:textId="28AE571A" w:rsidR="00A7032A" w:rsidRPr="00632D1F" w:rsidRDefault="00A7032A" w:rsidP="00A7032A">
      <w:pPr>
        <w:tabs>
          <w:tab w:val="left" w:pos="1843"/>
        </w:tabs>
        <w:spacing w:line="240" w:lineRule="auto"/>
        <w:ind w:right="49"/>
        <w:jc w:val="both"/>
        <w:rPr>
          <w:rFonts w:cs="Times New Roman"/>
        </w:rPr>
      </w:pPr>
      <w:r w:rsidRPr="00632D1F">
        <w:rPr>
          <w:rFonts w:cs="Times New Roman"/>
        </w:rPr>
        <w:t>Los registros contables y los estados financieros de los fondos administrados por las operadoras de pensiones en dólares deben presentarse en esa moneda.</w:t>
      </w:r>
    </w:p>
    <w:p w14:paraId="08E0DE80" w14:textId="77777777" w:rsidR="00A7032A" w:rsidRPr="00632D1F" w:rsidRDefault="00A7032A" w:rsidP="00A7032A">
      <w:pPr>
        <w:tabs>
          <w:tab w:val="left" w:pos="1843"/>
        </w:tabs>
        <w:spacing w:line="240" w:lineRule="auto"/>
        <w:ind w:right="49"/>
        <w:jc w:val="both"/>
        <w:rPr>
          <w:rFonts w:cs="Times New Roman"/>
        </w:rPr>
      </w:pPr>
    </w:p>
    <w:p w14:paraId="35C4917E" w14:textId="106F1412" w:rsidR="00A7032A" w:rsidRDefault="00A7032A" w:rsidP="00A7032A">
      <w:pPr>
        <w:tabs>
          <w:tab w:val="left" w:pos="1843"/>
        </w:tabs>
        <w:spacing w:line="240" w:lineRule="auto"/>
        <w:ind w:right="49"/>
        <w:jc w:val="both"/>
        <w:rPr>
          <w:rFonts w:cs="Times New Roman"/>
        </w:rPr>
      </w:pPr>
      <w:r w:rsidRPr="00632D1F">
        <w:rPr>
          <w:rFonts w:cs="Times New Roman"/>
        </w:rPr>
        <w:t>En el caso de los regímenes de pensiones básicos y complementarios, los dos primeros estados corresponden al:</w:t>
      </w:r>
    </w:p>
    <w:p w14:paraId="1061B2A3" w14:textId="77777777" w:rsidR="0034704A" w:rsidRPr="00632D1F" w:rsidRDefault="0034704A" w:rsidP="00A7032A">
      <w:pPr>
        <w:tabs>
          <w:tab w:val="left" w:pos="1843"/>
        </w:tabs>
        <w:spacing w:line="240" w:lineRule="auto"/>
        <w:ind w:right="49"/>
        <w:jc w:val="both"/>
        <w:rPr>
          <w:rFonts w:cs="Times New Roman"/>
        </w:rPr>
      </w:pPr>
    </w:p>
    <w:p w14:paraId="510E6311" w14:textId="77777777" w:rsidR="00A7032A" w:rsidRPr="00632D1F" w:rsidRDefault="00A7032A" w:rsidP="00A7032A">
      <w:pPr>
        <w:pStyle w:val="Prrafodelista"/>
        <w:numPr>
          <w:ilvl w:val="0"/>
          <w:numId w:val="8"/>
        </w:numPr>
        <w:spacing w:before="120"/>
        <w:ind w:left="681" w:hanging="397"/>
        <w:contextualSpacing w:val="0"/>
        <w:jc w:val="both"/>
      </w:pPr>
      <w:r w:rsidRPr="00632D1F">
        <w:t xml:space="preserve">Estado de </w:t>
      </w:r>
      <w:r w:rsidR="00C56CCD" w:rsidRPr="00632D1F">
        <w:t>a</w:t>
      </w:r>
      <w:r w:rsidRPr="00632D1F">
        <w:t xml:space="preserve">ctivos </w:t>
      </w:r>
      <w:r w:rsidR="00C56CCD" w:rsidRPr="00632D1F">
        <w:t>n</w:t>
      </w:r>
      <w:r w:rsidRPr="00632D1F">
        <w:t>etos disponibles para beneficios.</w:t>
      </w:r>
    </w:p>
    <w:p w14:paraId="2FFB6A47" w14:textId="77777777" w:rsidR="00A7032A" w:rsidRPr="00632D1F" w:rsidRDefault="00A7032A" w:rsidP="00A7032A">
      <w:pPr>
        <w:pStyle w:val="Prrafodelista"/>
        <w:numPr>
          <w:ilvl w:val="0"/>
          <w:numId w:val="8"/>
        </w:numPr>
        <w:spacing w:before="120"/>
        <w:ind w:left="681" w:hanging="397"/>
        <w:contextualSpacing w:val="0"/>
        <w:jc w:val="both"/>
      </w:pPr>
      <w:r w:rsidRPr="00632D1F">
        <w:t xml:space="preserve">Estado de </w:t>
      </w:r>
      <w:r w:rsidR="00C56CCD" w:rsidRPr="00632D1F">
        <w:t>c</w:t>
      </w:r>
      <w:r w:rsidRPr="00632D1F">
        <w:t xml:space="preserve">ambios en los </w:t>
      </w:r>
      <w:r w:rsidR="00C56CCD" w:rsidRPr="00632D1F">
        <w:t>a</w:t>
      </w:r>
      <w:r w:rsidRPr="00632D1F">
        <w:t xml:space="preserve">ctivos </w:t>
      </w:r>
      <w:r w:rsidR="00C56CCD" w:rsidRPr="00632D1F">
        <w:t>n</w:t>
      </w:r>
      <w:r w:rsidRPr="00632D1F">
        <w:t>etos disponibles para beneficios.</w:t>
      </w:r>
    </w:p>
    <w:p w14:paraId="5B28FD3C" w14:textId="77777777" w:rsidR="00A7032A" w:rsidRPr="00632D1F" w:rsidRDefault="00A7032A" w:rsidP="00A7032A">
      <w:pPr>
        <w:tabs>
          <w:tab w:val="left" w:pos="1843"/>
        </w:tabs>
        <w:spacing w:line="240" w:lineRule="auto"/>
        <w:ind w:right="49"/>
        <w:jc w:val="both"/>
        <w:rPr>
          <w:rFonts w:cs="Times New Roman"/>
        </w:rPr>
      </w:pPr>
    </w:p>
    <w:p w14:paraId="503209BC" w14:textId="6144888A" w:rsidR="005C3056" w:rsidRDefault="00324D8D" w:rsidP="00C5152F">
      <w:pPr>
        <w:tabs>
          <w:tab w:val="left" w:pos="1843"/>
        </w:tabs>
        <w:spacing w:line="240" w:lineRule="auto"/>
        <w:ind w:right="49"/>
        <w:jc w:val="both"/>
        <w:rPr>
          <w:rFonts w:cs="Times New Roman"/>
        </w:rPr>
      </w:pPr>
      <w:r>
        <w:rPr>
          <w:rFonts w:cs="Times New Roman"/>
        </w:rPr>
        <w:lastRenderedPageBreak/>
        <w:t>P</w:t>
      </w:r>
      <w:r w:rsidR="007C2C62">
        <w:rPr>
          <w:rFonts w:cs="Times New Roman"/>
        </w:rPr>
        <w:t xml:space="preserve">ara el caso de los </w:t>
      </w:r>
      <w:r w:rsidR="007C2C62" w:rsidRPr="00632D1F">
        <w:rPr>
          <w:rFonts w:cs="Times New Roman"/>
        </w:rPr>
        <w:t>regímenes de pensiones básicos y complementarios</w:t>
      </w:r>
      <w:r w:rsidR="005C3056">
        <w:rPr>
          <w:rFonts w:cs="Times New Roman"/>
        </w:rPr>
        <w:t>,</w:t>
      </w:r>
      <w:r w:rsidR="00AB0A0D">
        <w:rPr>
          <w:rFonts w:cs="Times New Roman"/>
        </w:rPr>
        <w:t xml:space="preserve"> los estados</w:t>
      </w:r>
      <w:r w:rsidR="00A7032A" w:rsidRPr="00632D1F">
        <w:rPr>
          <w:rFonts w:cs="Times New Roman"/>
        </w:rPr>
        <w:t xml:space="preserve"> se deben elaborar de acuerdo con </w:t>
      </w:r>
      <w:r w:rsidR="00626145">
        <w:rPr>
          <w:rFonts w:cs="Times New Roman"/>
        </w:rPr>
        <w:t xml:space="preserve">el formato que se incluye como Anexo </w:t>
      </w:r>
      <w:r w:rsidR="00846873">
        <w:rPr>
          <w:rFonts w:cs="Times New Roman"/>
        </w:rPr>
        <w:t>1</w:t>
      </w:r>
      <w:r w:rsidR="00C5152F">
        <w:rPr>
          <w:rFonts w:cs="Times New Roman"/>
        </w:rPr>
        <w:t xml:space="preserve"> </w:t>
      </w:r>
      <w:r w:rsidR="00C479FB">
        <w:rPr>
          <w:rFonts w:cs="Times New Roman"/>
        </w:rPr>
        <w:t>de</w:t>
      </w:r>
      <w:r w:rsidR="00626145">
        <w:rPr>
          <w:rFonts w:cs="Times New Roman"/>
        </w:rPr>
        <w:t xml:space="preserve"> este Acuerdo.</w:t>
      </w:r>
      <w:bookmarkStart w:id="0" w:name="_1617704712"/>
      <w:bookmarkEnd w:id="0"/>
      <w:r w:rsidR="00B81C61">
        <w:rPr>
          <w:rFonts w:cs="Times New Roman"/>
        </w:rPr>
        <w:t xml:space="preserve"> </w:t>
      </w:r>
    </w:p>
    <w:p w14:paraId="31341E39" w14:textId="77777777" w:rsidR="005C3056" w:rsidRDefault="005C3056" w:rsidP="00C5152F">
      <w:pPr>
        <w:tabs>
          <w:tab w:val="left" w:pos="1843"/>
        </w:tabs>
        <w:spacing w:line="240" w:lineRule="auto"/>
        <w:ind w:right="49"/>
        <w:jc w:val="both"/>
        <w:rPr>
          <w:rFonts w:cs="Times New Roman"/>
        </w:rPr>
      </w:pPr>
    </w:p>
    <w:p w14:paraId="06ACC348" w14:textId="3DE1DCDB" w:rsidR="00A7032A" w:rsidRPr="00C5152F" w:rsidRDefault="004F11D6" w:rsidP="00C5152F">
      <w:pPr>
        <w:tabs>
          <w:tab w:val="left" w:pos="1843"/>
        </w:tabs>
        <w:spacing w:line="240" w:lineRule="auto"/>
        <w:ind w:right="49"/>
        <w:jc w:val="both"/>
        <w:rPr>
          <w:rFonts w:cs="Times New Roman"/>
        </w:rPr>
      </w:pPr>
      <w:r>
        <w:rPr>
          <w:rFonts w:cs="Times New Roman"/>
        </w:rPr>
        <w:t xml:space="preserve">Tratándose de </w:t>
      </w:r>
      <w:r w:rsidR="00B81C61">
        <w:rPr>
          <w:rFonts w:cs="Times New Roman"/>
        </w:rPr>
        <w:t xml:space="preserve">las operadoras de pensiones y los fondos administrados por éstas, aplican los formatos </w:t>
      </w:r>
      <w:r w:rsidR="00BF4520">
        <w:rPr>
          <w:rFonts w:cs="Times New Roman"/>
        </w:rPr>
        <w:t xml:space="preserve">definidos en el </w:t>
      </w:r>
      <w:r w:rsidR="00BF4520" w:rsidRPr="00324D8D">
        <w:rPr>
          <w:rFonts w:cs="Times New Roman"/>
          <w:i/>
        </w:rPr>
        <w:t xml:space="preserve">Reglamento de </w:t>
      </w:r>
      <w:r w:rsidR="00324D8D" w:rsidRPr="00324D8D">
        <w:rPr>
          <w:rFonts w:cs="Times New Roman"/>
          <w:i/>
        </w:rPr>
        <w:t>I</w:t>
      </w:r>
      <w:r w:rsidR="00BF4520" w:rsidRPr="00324D8D">
        <w:rPr>
          <w:rFonts w:cs="Times New Roman"/>
          <w:i/>
        </w:rPr>
        <w:t xml:space="preserve">nformación </w:t>
      </w:r>
      <w:r w:rsidR="00324D8D" w:rsidRPr="00324D8D">
        <w:rPr>
          <w:rFonts w:cs="Times New Roman"/>
          <w:i/>
        </w:rPr>
        <w:t>F</w:t>
      </w:r>
      <w:r w:rsidR="00BF4520" w:rsidRPr="00324D8D">
        <w:rPr>
          <w:rFonts w:cs="Times New Roman"/>
          <w:i/>
        </w:rPr>
        <w:t>inanciera</w:t>
      </w:r>
      <w:r w:rsidR="00BF4520">
        <w:rPr>
          <w:rFonts w:cs="Times New Roman"/>
        </w:rPr>
        <w:t>.</w:t>
      </w:r>
    </w:p>
    <w:p w14:paraId="1C7132CA" w14:textId="77777777" w:rsidR="00C56CCD" w:rsidRPr="00632D1F" w:rsidRDefault="00C56CCD" w:rsidP="00A7032A">
      <w:pPr>
        <w:spacing w:line="240" w:lineRule="auto"/>
        <w:jc w:val="both"/>
        <w:rPr>
          <w:rFonts w:cs="Times New Roman"/>
          <w:lang w:val="es-CR"/>
        </w:rPr>
      </w:pPr>
    </w:p>
    <w:p w14:paraId="3DB61F30" w14:textId="6795D152" w:rsidR="00A7032A" w:rsidRPr="00632D1F" w:rsidRDefault="00A7032A" w:rsidP="00C56CCD">
      <w:pPr>
        <w:pStyle w:val="Sangra2detindependiente"/>
        <w:spacing w:after="60"/>
        <w:ind w:left="0"/>
      </w:pPr>
      <w:r w:rsidRPr="00632D1F">
        <w:t xml:space="preserve">Artículo </w:t>
      </w:r>
      <w:r w:rsidR="00C56CCD" w:rsidRPr="00632D1F">
        <w:t>4</w:t>
      </w:r>
      <w:r w:rsidRPr="00632D1F">
        <w:t xml:space="preserve">.  Transferencia y validación remota de </w:t>
      </w:r>
      <w:r w:rsidR="008D0A9A" w:rsidRPr="00632D1F">
        <w:t>información</w:t>
      </w:r>
    </w:p>
    <w:p w14:paraId="7AE218C3" w14:textId="77777777" w:rsidR="00104D7C" w:rsidRDefault="00104D7C" w:rsidP="00A7032A">
      <w:pPr>
        <w:pStyle w:val="Sangra2detindependiente"/>
        <w:spacing w:after="0"/>
        <w:ind w:left="0"/>
        <w:rPr>
          <w:b w:val="0"/>
        </w:rPr>
      </w:pPr>
    </w:p>
    <w:p w14:paraId="0ED749EF" w14:textId="2AC24BC9" w:rsidR="00A7032A" w:rsidRPr="00632D1F" w:rsidRDefault="00A7032A" w:rsidP="00A7032A">
      <w:pPr>
        <w:pStyle w:val="Sangra2detindependiente"/>
        <w:spacing w:after="0"/>
        <w:ind w:left="0"/>
        <w:rPr>
          <w:b w:val="0"/>
        </w:rPr>
      </w:pPr>
      <w:r w:rsidRPr="00632D1F">
        <w:rPr>
          <w:b w:val="0"/>
        </w:rPr>
        <w:t>La operación de</w:t>
      </w:r>
      <w:r w:rsidR="00014F6A" w:rsidRPr="00632D1F">
        <w:rPr>
          <w:b w:val="0"/>
        </w:rPr>
        <w:t>l</w:t>
      </w:r>
      <w:r w:rsidR="002106F1" w:rsidRPr="00632D1F">
        <w:rPr>
          <w:b w:val="0"/>
        </w:rPr>
        <w:t xml:space="preserve"> Portal </w:t>
      </w:r>
      <w:r w:rsidR="000A44E6" w:rsidRPr="00632D1F">
        <w:rPr>
          <w:b w:val="0"/>
        </w:rPr>
        <w:t xml:space="preserve">Ventanilla Electrónica de Servicios (VES) </w:t>
      </w:r>
      <w:r w:rsidRPr="00632D1F">
        <w:rPr>
          <w:b w:val="0"/>
        </w:rPr>
        <w:t xml:space="preserve">se </w:t>
      </w:r>
      <w:r w:rsidR="004F11D6">
        <w:rPr>
          <w:b w:val="0"/>
        </w:rPr>
        <w:t>realizará</w:t>
      </w:r>
      <w:r w:rsidRPr="00632D1F">
        <w:rPr>
          <w:b w:val="0"/>
        </w:rPr>
        <w:t xml:space="preserve"> conforme a lo dispuesto en el Manual de</w:t>
      </w:r>
      <w:r w:rsidR="002106F1" w:rsidRPr="00632D1F">
        <w:rPr>
          <w:b w:val="0"/>
        </w:rPr>
        <w:t xml:space="preserve"> </w:t>
      </w:r>
      <w:r w:rsidRPr="00632D1F">
        <w:rPr>
          <w:b w:val="0"/>
        </w:rPr>
        <w:t>Usuario emitido por la SUPEN</w:t>
      </w:r>
      <w:r w:rsidR="004F11D6">
        <w:rPr>
          <w:b w:val="0"/>
        </w:rPr>
        <w:t xml:space="preserve">, </w:t>
      </w:r>
      <w:r w:rsidRPr="00632D1F">
        <w:rPr>
          <w:b w:val="0"/>
        </w:rPr>
        <w:t xml:space="preserve">disponible en </w:t>
      </w:r>
      <w:r w:rsidR="00576CE7">
        <w:rPr>
          <w:b w:val="0"/>
        </w:rPr>
        <w:t>la</w:t>
      </w:r>
      <w:r w:rsidR="001A58D9">
        <w:rPr>
          <w:b w:val="0"/>
        </w:rPr>
        <w:t xml:space="preserve"> </w:t>
      </w:r>
      <w:r w:rsidRPr="00632D1F">
        <w:rPr>
          <w:b w:val="0"/>
        </w:rPr>
        <w:t>VES.</w:t>
      </w:r>
    </w:p>
    <w:p w14:paraId="743C12F6" w14:textId="77777777" w:rsidR="00A7032A" w:rsidRPr="001A58D9" w:rsidRDefault="00A7032A" w:rsidP="00A7032A">
      <w:pPr>
        <w:spacing w:line="240" w:lineRule="auto"/>
        <w:jc w:val="both"/>
        <w:rPr>
          <w:rFonts w:cs="Times New Roman"/>
        </w:rPr>
      </w:pPr>
    </w:p>
    <w:p w14:paraId="6EC40F4C" w14:textId="798C29F3" w:rsidR="00A7032A" w:rsidRPr="00632D1F" w:rsidRDefault="00A7032A" w:rsidP="00C56CCD">
      <w:pPr>
        <w:pStyle w:val="Sangra2detindependiente"/>
        <w:spacing w:after="60"/>
        <w:ind w:left="0"/>
      </w:pPr>
      <w:r w:rsidRPr="00632D1F">
        <w:t xml:space="preserve">Artículo </w:t>
      </w:r>
      <w:r w:rsidR="00C56CCD" w:rsidRPr="00632D1F">
        <w:t>5</w:t>
      </w:r>
      <w:r w:rsidRPr="00632D1F">
        <w:t xml:space="preserve">.  Calidad de los reportes enviados mediante el módulo de transferencia y validación remota de </w:t>
      </w:r>
      <w:r w:rsidR="008D0A9A" w:rsidRPr="00632D1F">
        <w:t>información</w:t>
      </w:r>
    </w:p>
    <w:p w14:paraId="2EECA8E6" w14:textId="77777777" w:rsidR="00DF47FC" w:rsidRDefault="00DF47FC" w:rsidP="00A7032A">
      <w:pPr>
        <w:pStyle w:val="Sangra2detindependiente"/>
        <w:spacing w:after="0"/>
        <w:ind w:left="0"/>
        <w:rPr>
          <w:b w:val="0"/>
        </w:rPr>
      </w:pPr>
    </w:p>
    <w:p w14:paraId="728BDC21" w14:textId="48603C0D" w:rsidR="00A7032A" w:rsidRPr="00632D1F" w:rsidRDefault="00A7032A" w:rsidP="00A7032A">
      <w:pPr>
        <w:pStyle w:val="Sangra2detindependiente"/>
        <w:spacing w:after="0"/>
        <w:ind w:left="0"/>
        <w:rPr>
          <w:b w:val="0"/>
        </w:rPr>
      </w:pPr>
      <w:r w:rsidRPr="00632D1F">
        <w:rPr>
          <w:b w:val="0"/>
        </w:rPr>
        <w:t>Los reportes que s</w:t>
      </w:r>
      <w:r w:rsidR="00B735E2">
        <w:rPr>
          <w:b w:val="0"/>
        </w:rPr>
        <w:t>ean</w:t>
      </w:r>
      <w:r w:rsidRPr="00632D1F">
        <w:rPr>
          <w:b w:val="0"/>
        </w:rPr>
        <w:t xml:space="preserve"> remitidos mediante el módulo de transferencia y validación remota de </w:t>
      </w:r>
      <w:r w:rsidR="00FD171E" w:rsidRPr="00632D1F">
        <w:rPr>
          <w:b w:val="0"/>
        </w:rPr>
        <w:t xml:space="preserve">información </w:t>
      </w:r>
      <w:r w:rsidRPr="00632D1F">
        <w:rPr>
          <w:b w:val="0"/>
        </w:rPr>
        <w:t xml:space="preserve">habrán satisfecho lo señalado en el </w:t>
      </w:r>
      <w:r w:rsidR="008C14DE">
        <w:rPr>
          <w:b w:val="0"/>
        </w:rPr>
        <w:t>a</w:t>
      </w:r>
      <w:r w:rsidRPr="00632D1F">
        <w:rPr>
          <w:b w:val="0"/>
        </w:rPr>
        <w:t>rtículo 2 anterior</w:t>
      </w:r>
      <w:r w:rsidR="00C512DF" w:rsidRPr="00632D1F">
        <w:rPr>
          <w:b w:val="0"/>
        </w:rPr>
        <w:t>,</w:t>
      </w:r>
      <w:r w:rsidRPr="00632D1F">
        <w:rPr>
          <w:b w:val="0"/>
        </w:rPr>
        <w:t xml:space="preserve"> cuando hayan superado el proceso de validación indicado en el Manual de Información y queden incluidos en la base de datos de la SUPEN</w:t>
      </w:r>
      <w:r w:rsidR="00B735E2">
        <w:rPr>
          <w:b w:val="0"/>
        </w:rPr>
        <w:t>,</w:t>
      </w:r>
      <w:r w:rsidRPr="00632D1F">
        <w:rPr>
          <w:b w:val="0"/>
        </w:rPr>
        <w:t xml:space="preserve"> dentro del plazo establecido. La inclusión de la información en la base de datos no implica que la S</w:t>
      </w:r>
      <w:r w:rsidR="008C14DE">
        <w:rPr>
          <w:b w:val="0"/>
        </w:rPr>
        <w:t>UPEN</w:t>
      </w:r>
      <w:r w:rsidRPr="00632D1F">
        <w:rPr>
          <w:b w:val="0"/>
        </w:rPr>
        <w:t xml:space="preserve"> homologue, avale o apruebe la misma, </w:t>
      </w:r>
      <w:r w:rsidR="000255FC">
        <w:rPr>
          <w:b w:val="0"/>
        </w:rPr>
        <w:t>sin perjuicio d</w:t>
      </w:r>
      <w:r w:rsidRPr="00632D1F">
        <w:rPr>
          <w:b w:val="0"/>
        </w:rPr>
        <w:t>el ejercicio de su potestad para aplicar las sanciones que correspondan</w:t>
      </w:r>
      <w:r w:rsidR="000255FC">
        <w:rPr>
          <w:b w:val="0"/>
        </w:rPr>
        <w:t>,</w:t>
      </w:r>
      <w:r w:rsidRPr="00632D1F">
        <w:rPr>
          <w:b w:val="0"/>
        </w:rPr>
        <w:t xml:space="preserve"> en caso de que la información no haya cumplido con los requerimientos legales, reglamentarios o técnicos establecidos o aceptados, sea falsa o imprecisa, o que de ella se derive un impedimento u obstaculización </w:t>
      </w:r>
      <w:r w:rsidR="00C512DF" w:rsidRPr="00632D1F">
        <w:rPr>
          <w:b w:val="0"/>
        </w:rPr>
        <w:t xml:space="preserve">a </w:t>
      </w:r>
      <w:r w:rsidRPr="00632D1F">
        <w:rPr>
          <w:b w:val="0"/>
        </w:rPr>
        <w:t>las labores de supervisión.</w:t>
      </w:r>
    </w:p>
    <w:p w14:paraId="7A88D233" w14:textId="12ABE05F" w:rsidR="00A7032A" w:rsidRDefault="00A7032A" w:rsidP="00A7032A">
      <w:pPr>
        <w:pStyle w:val="Sangra2detindependiente"/>
        <w:spacing w:after="0"/>
        <w:ind w:left="0"/>
      </w:pPr>
    </w:p>
    <w:p w14:paraId="66CB5E5F" w14:textId="55DE29A7" w:rsidR="0034704A" w:rsidRDefault="0034704A" w:rsidP="00A7032A">
      <w:pPr>
        <w:pStyle w:val="Sangra2detindependiente"/>
        <w:spacing w:after="0"/>
        <w:ind w:left="0"/>
      </w:pPr>
    </w:p>
    <w:p w14:paraId="46F0CF19" w14:textId="0D3B16CB" w:rsidR="0034704A" w:rsidRDefault="0034704A" w:rsidP="00A7032A">
      <w:pPr>
        <w:pStyle w:val="Sangra2detindependiente"/>
        <w:spacing w:after="0"/>
        <w:ind w:left="0"/>
      </w:pPr>
    </w:p>
    <w:p w14:paraId="2EE62158" w14:textId="77777777" w:rsidR="0034704A" w:rsidRPr="00632D1F" w:rsidRDefault="0034704A" w:rsidP="00A7032A">
      <w:pPr>
        <w:pStyle w:val="Sangra2detindependiente"/>
        <w:spacing w:after="0"/>
        <w:ind w:left="0"/>
      </w:pPr>
    </w:p>
    <w:p w14:paraId="66E4DFC9" w14:textId="77777777" w:rsidR="00A7032A" w:rsidRPr="00632D1F" w:rsidRDefault="00A7032A" w:rsidP="00C56CCD">
      <w:pPr>
        <w:pStyle w:val="Sangra2detindependiente"/>
        <w:spacing w:after="60"/>
        <w:ind w:left="0"/>
      </w:pPr>
      <w:r w:rsidRPr="00632D1F">
        <w:t xml:space="preserve">Artículo </w:t>
      </w:r>
      <w:r w:rsidR="00C56CCD" w:rsidRPr="00632D1F">
        <w:t>6</w:t>
      </w:r>
      <w:r w:rsidRPr="00632D1F">
        <w:t xml:space="preserve">.  Obligaciones de las </w:t>
      </w:r>
      <w:r w:rsidR="00C512DF" w:rsidRPr="00632D1F">
        <w:t>e</w:t>
      </w:r>
      <w:r w:rsidRPr="00632D1F">
        <w:t>ntidades supervisadas</w:t>
      </w:r>
    </w:p>
    <w:p w14:paraId="2B9D33BD" w14:textId="77777777" w:rsidR="00DF47FC" w:rsidRDefault="00DF47FC" w:rsidP="00A7032A">
      <w:pPr>
        <w:pStyle w:val="Sangra2detindependiente"/>
        <w:spacing w:after="0"/>
        <w:ind w:left="0"/>
        <w:rPr>
          <w:b w:val="0"/>
        </w:rPr>
      </w:pPr>
    </w:p>
    <w:p w14:paraId="756A03F3" w14:textId="6C8B0073" w:rsidR="00A7032A" w:rsidRPr="00632D1F" w:rsidRDefault="00A7032A" w:rsidP="00A7032A">
      <w:pPr>
        <w:pStyle w:val="Sangra2detindependiente"/>
        <w:spacing w:after="0"/>
        <w:ind w:left="0"/>
        <w:rPr>
          <w:b w:val="0"/>
        </w:rPr>
      </w:pPr>
      <w:r w:rsidRPr="00632D1F">
        <w:rPr>
          <w:b w:val="0"/>
        </w:rPr>
        <w:t xml:space="preserve">Para los reportes que se remiten mediante </w:t>
      </w:r>
      <w:r w:rsidR="00576CE7">
        <w:rPr>
          <w:b w:val="0"/>
        </w:rPr>
        <w:t>la</w:t>
      </w:r>
      <w:r w:rsidRPr="00632D1F">
        <w:rPr>
          <w:b w:val="0"/>
        </w:rPr>
        <w:t xml:space="preserve"> </w:t>
      </w:r>
      <w:r w:rsidR="00FF5D85" w:rsidRPr="00632D1F">
        <w:rPr>
          <w:b w:val="0"/>
        </w:rPr>
        <w:t>VES</w:t>
      </w:r>
      <w:r w:rsidRPr="00632D1F">
        <w:rPr>
          <w:b w:val="0"/>
        </w:rPr>
        <w:t xml:space="preserve">, las </w:t>
      </w:r>
      <w:r w:rsidR="00557D07" w:rsidRPr="00632D1F">
        <w:rPr>
          <w:b w:val="0"/>
        </w:rPr>
        <w:t>e</w:t>
      </w:r>
      <w:r w:rsidRPr="00632D1F">
        <w:rPr>
          <w:b w:val="0"/>
        </w:rPr>
        <w:t xml:space="preserve">ntidades </w:t>
      </w:r>
      <w:r w:rsidR="00F14AC2" w:rsidRPr="00632D1F">
        <w:rPr>
          <w:b w:val="0"/>
        </w:rPr>
        <w:t>s</w:t>
      </w:r>
      <w:r w:rsidRPr="00632D1F">
        <w:rPr>
          <w:b w:val="0"/>
        </w:rPr>
        <w:t>upervisadas deben cumplir con:</w:t>
      </w:r>
    </w:p>
    <w:p w14:paraId="521B00E3" w14:textId="22EECD93" w:rsidR="00A7032A" w:rsidRPr="00632D1F" w:rsidRDefault="00A7032A" w:rsidP="008F651B">
      <w:pPr>
        <w:pStyle w:val="Sangra2detindependiente"/>
        <w:numPr>
          <w:ilvl w:val="0"/>
          <w:numId w:val="9"/>
        </w:numPr>
        <w:spacing w:before="120" w:after="0"/>
        <w:ind w:left="397" w:hanging="397"/>
        <w:rPr>
          <w:b w:val="0"/>
        </w:rPr>
      </w:pPr>
      <w:r w:rsidRPr="00632D1F">
        <w:rPr>
          <w:b w:val="0"/>
        </w:rPr>
        <w:t>Asegurar el mantenimiento, operación, administración y adecuación técnica del equipo informático y de comunicación necesarios para el buen funcionamiento de</w:t>
      </w:r>
      <w:r w:rsidR="00576CE7">
        <w:rPr>
          <w:b w:val="0"/>
        </w:rPr>
        <w:t xml:space="preserve"> la</w:t>
      </w:r>
      <w:r w:rsidRPr="00632D1F">
        <w:rPr>
          <w:b w:val="0"/>
        </w:rPr>
        <w:t xml:space="preserve"> </w:t>
      </w:r>
      <w:r w:rsidR="00891EBC" w:rsidRPr="00632D1F">
        <w:rPr>
          <w:b w:val="0"/>
        </w:rPr>
        <w:t>VES</w:t>
      </w:r>
      <w:r w:rsidRPr="00632D1F">
        <w:rPr>
          <w:b w:val="0"/>
        </w:rPr>
        <w:t>.</w:t>
      </w:r>
    </w:p>
    <w:p w14:paraId="54B0DA3E" w14:textId="77777777" w:rsidR="00A7032A" w:rsidRPr="00632D1F" w:rsidRDefault="00A7032A" w:rsidP="008F651B">
      <w:pPr>
        <w:pStyle w:val="Sangra2detindependiente"/>
        <w:numPr>
          <w:ilvl w:val="0"/>
          <w:numId w:val="9"/>
        </w:numPr>
        <w:spacing w:before="120" w:after="0"/>
        <w:ind w:left="397" w:hanging="397"/>
        <w:rPr>
          <w:b w:val="0"/>
        </w:rPr>
      </w:pPr>
      <w:r w:rsidRPr="00632D1F">
        <w:rPr>
          <w:b w:val="0"/>
        </w:rPr>
        <w:t xml:space="preserve">Adoptar las medidas de seguridad necesarias para evitar, voluntaria o involuntariamente, la apropiación por parte de terceros de la clave privada. </w:t>
      </w:r>
    </w:p>
    <w:p w14:paraId="1FB15B9C" w14:textId="79412728" w:rsidR="00A7032A" w:rsidRPr="00632D1F" w:rsidRDefault="00A7032A" w:rsidP="008F651B">
      <w:pPr>
        <w:pStyle w:val="Sangra2detindependiente"/>
        <w:numPr>
          <w:ilvl w:val="0"/>
          <w:numId w:val="9"/>
        </w:numPr>
        <w:spacing w:before="120" w:after="0"/>
        <w:ind w:left="397" w:hanging="397"/>
        <w:rPr>
          <w:b w:val="0"/>
        </w:rPr>
      </w:pPr>
      <w:r w:rsidRPr="00632D1F">
        <w:rPr>
          <w:b w:val="0"/>
        </w:rPr>
        <w:t>Ve</w:t>
      </w:r>
      <w:r w:rsidR="00CE1640" w:rsidRPr="00632D1F">
        <w:rPr>
          <w:b w:val="0"/>
        </w:rPr>
        <w:t xml:space="preserve">lar porque en las </w:t>
      </w:r>
      <w:r w:rsidRPr="00632D1F">
        <w:rPr>
          <w:b w:val="0"/>
        </w:rPr>
        <w:t xml:space="preserve">estaciones de trabajo se utilice la misma hora del servidor administrado por la </w:t>
      </w:r>
      <w:r w:rsidR="008F651B" w:rsidRPr="00632D1F">
        <w:rPr>
          <w:b w:val="0"/>
        </w:rPr>
        <w:t>SUPEN</w:t>
      </w:r>
      <w:r w:rsidR="000357B8" w:rsidRPr="00632D1F">
        <w:rPr>
          <w:b w:val="0"/>
        </w:rPr>
        <w:t>.</w:t>
      </w:r>
    </w:p>
    <w:p w14:paraId="72143667" w14:textId="6B597613" w:rsidR="00A7032A" w:rsidRPr="00632D1F" w:rsidRDefault="00A7032A" w:rsidP="008F651B">
      <w:pPr>
        <w:pStyle w:val="Sangra2detindependiente"/>
        <w:numPr>
          <w:ilvl w:val="0"/>
          <w:numId w:val="9"/>
        </w:numPr>
        <w:spacing w:before="120" w:after="0"/>
        <w:ind w:left="397" w:hanging="397"/>
        <w:rPr>
          <w:b w:val="0"/>
        </w:rPr>
      </w:pPr>
      <w:r w:rsidRPr="00632D1F">
        <w:rPr>
          <w:b w:val="0"/>
        </w:rPr>
        <w:t>Informar inmediatamente a la S</w:t>
      </w:r>
      <w:r w:rsidR="008650B3">
        <w:rPr>
          <w:b w:val="0"/>
        </w:rPr>
        <w:t>UPEN</w:t>
      </w:r>
      <w:r w:rsidRPr="00632D1F">
        <w:rPr>
          <w:b w:val="0"/>
        </w:rPr>
        <w:t xml:space="preserve"> cuando se detecten fallas en el funcionamiento de</w:t>
      </w:r>
      <w:r w:rsidR="008650B3">
        <w:rPr>
          <w:b w:val="0"/>
        </w:rPr>
        <w:t xml:space="preserve"> </w:t>
      </w:r>
      <w:r w:rsidRPr="00632D1F">
        <w:rPr>
          <w:b w:val="0"/>
        </w:rPr>
        <w:t>l</w:t>
      </w:r>
      <w:r w:rsidR="008650B3">
        <w:rPr>
          <w:b w:val="0"/>
        </w:rPr>
        <w:t>a</w:t>
      </w:r>
      <w:r w:rsidRPr="00632D1F">
        <w:rPr>
          <w:b w:val="0"/>
        </w:rPr>
        <w:t xml:space="preserve"> </w:t>
      </w:r>
      <w:r w:rsidR="00727A8A" w:rsidRPr="00632D1F">
        <w:rPr>
          <w:b w:val="0"/>
        </w:rPr>
        <w:t>VES</w:t>
      </w:r>
      <w:r w:rsidRPr="00632D1F">
        <w:rPr>
          <w:b w:val="0"/>
        </w:rPr>
        <w:t>.</w:t>
      </w:r>
    </w:p>
    <w:p w14:paraId="71A181AF" w14:textId="0B9F71AD" w:rsidR="00A7032A" w:rsidRPr="00632D1F" w:rsidRDefault="00A7032A" w:rsidP="008F651B">
      <w:pPr>
        <w:pStyle w:val="Sangra2detindependiente"/>
        <w:numPr>
          <w:ilvl w:val="0"/>
          <w:numId w:val="9"/>
        </w:numPr>
        <w:spacing w:before="120" w:after="0"/>
        <w:ind w:left="397" w:hanging="397"/>
        <w:rPr>
          <w:b w:val="0"/>
        </w:rPr>
      </w:pPr>
      <w:r w:rsidRPr="00632D1F">
        <w:rPr>
          <w:b w:val="0"/>
        </w:rPr>
        <w:lastRenderedPageBreak/>
        <w:t>Guardar, respecto de las comunicaciones electrónicas de datos, la confidencialidad y reserva que imponen las normas vigentes</w:t>
      </w:r>
      <w:r w:rsidR="00AA2D65" w:rsidRPr="00632D1F">
        <w:rPr>
          <w:b w:val="0"/>
        </w:rPr>
        <w:t xml:space="preserve">, siendo responsables </w:t>
      </w:r>
      <w:r w:rsidR="008F5A3F" w:rsidRPr="00632D1F">
        <w:rPr>
          <w:b w:val="0"/>
        </w:rPr>
        <w:t>por la violación de dichos deberes</w:t>
      </w:r>
      <w:r w:rsidRPr="00632D1F">
        <w:rPr>
          <w:b w:val="0"/>
        </w:rPr>
        <w:t>.</w:t>
      </w:r>
    </w:p>
    <w:p w14:paraId="5BF8FF53" w14:textId="729D91ED" w:rsidR="00A7032A" w:rsidRPr="00632D1F" w:rsidRDefault="00A7032A" w:rsidP="008F651B">
      <w:pPr>
        <w:pStyle w:val="Sangra2detindependiente"/>
        <w:numPr>
          <w:ilvl w:val="0"/>
          <w:numId w:val="9"/>
        </w:numPr>
        <w:spacing w:before="120" w:after="0"/>
        <w:ind w:left="397" w:hanging="397"/>
        <w:rPr>
          <w:b w:val="0"/>
        </w:rPr>
      </w:pPr>
      <w:r w:rsidRPr="00632D1F">
        <w:rPr>
          <w:b w:val="0"/>
        </w:rPr>
        <w:t xml:space="preserve">Asumir la responsabilidad por la </w:t>
      </w:r>
      <w:r w:rsidR="00D00D71" w:rsidRPr="00632D1F">
        <w:rPr>
          <w:b w:val="0"/>
        </w:rPr>
        <w:t xml:space="preserve">confidencialidad, </w:t>
      </w:r>
      <w:r w:rsidRPr="00632D1F">
        <w:rPr>
          <w:b w:val="0"/>
        </w:rPr>
        <w:t>autenticidad e integridad de la información remitida.</w:t>
      </w:r>
    </w:p>
    <w:p w14:paraId="7A67EA97" w14:textId="77777777" w:rsidR="00A7032A" w:rsidRPr="00632D1F" w:rsidRDefault="00A7032A" w:rsidP="00A7032A">
      <w:pPr>
        <w:pStyle w:val="Sangra2detindependiente"/>
        <w:spacing w:after="0"/>
        <w:ind w:left="0"/>
      </w:pPr>
    </w:p>
    <w:p w14:paraId="6F42053B" w14:textId="77777777" w:rsidR="0078346D" w:rsidRDefault="00A7032A" w:rsidP="002D43E6">
      <w:pPr>
        <w:pStyle w:val="Sangra2detindependiente"/>
        <w:spacing w:after="60"/>
        <w:ind w:left="0"/>
      </w:pPr>
      <w:r w:rsidRPr="00632D1F">
        <w:t xml:space="preserve">Artículo </w:t>
      </w:r>
      <w:r w:rsidR="00A0264D" w:rsidRPr="00632D1F">
        <w:t>7</w:t>
      </w:r>
      <w:r w:rsidRPr="00632D1F">
        <w:t xml:space="preserve">.  Obligaciones de la </w:t>
      </w:r>
      <w:r w:rsidR="008F651B" w:rsidRPr="00632D1F">
        <w:t>SUPEN</w:t>
      </w:r>
    </w:p>
    <w:p w14:paraId="4DA3C098" w14:textId="77777777" w:rsidR="00DF47FC" w:rsidRDefault="00DF47FC" w:rsidP="002D43E6">
      <w:pPr>
        <w:pStyle w:val="Sangra2detindependiente"/>
        <w:spacing w:after="60"/>
        <w:ind w:left="0"/>
        <w:rPr>
          <w:b w:val="0"/>
        </w:rPr>
      </w:pPr>
    </w:p>
    <w:p w14:paraId="7C579171" w14:textId="6ABF72CB" w:rsidR="00A7032A" w:rsidRPr="002D43E6" w:rsidRDefault="0078346D" w:rsidP="002D43E6">
      <w:pPr>
        <w:pStyle w:val="Sangra2detindependiente"/>
        <w:spacing w:after="60"/>
        <w:ind w:left="0"/>
      </w:pPr>
      <w:r>
        <w:rPr>
          <w:b w:val="0"/>
        </w:rPr>
        <w:t>E</w:t>
      </w:r>
      <w:r w:rsidR="000255FC">
        <w:rPr>
          <w:b w:val="0"/>
        </w:rPr>
        <w:t xml:space="preserve">s obligación de </w:t>
      </w:r>
      <w:r w:rsidR="00A7032A" w:rsidRPr="00632D1F">
        <w:rPr>
          <w:b w:val="0"/>
        </w:rPr>
        <w:t xml:space="preserve">la </w:t>
      </w:r>
      <w:r w:rsidR="002D43E6">
        <w:rPr>
          <w:b w:val="0"/>
        </w:rPr>
        <w:t>SUPEN</w:t>
      </w:r>
      <w:r w:rsidR="000255FC">
        <w:rPr>
          <w:b w:val="0"/>
        </w:rPr>
        <w:t xml:space="preserve"> i</w:t>
      </w:r>
      <w:r w:rsidR="00A7032A" w:rsidRPr="00632D1F">
        <w:rPr>
          <w:b w:val="0"/>
        </w:rPr>
        <w:t xml:space="preserve">mplementar, mantener, operar, administrar y adecuar técnicamente el </w:t>
      </w:r>
      <w:r w:rsidR="0009709F" w:rsidRPr="00632D1F">
        <w:rPr>
          <w:b w:val="0"/>
        </w:rPr>
        <w:t>Portal VES</w:t>
      </w:r>
      <w:r w:rsidR="000255FC">
        <w:rPr>
          <w:b w:val="0"/>
        </w:rPr>
        <w:t>.</w:t>
      </w:r>
    </w:p>
    <w:p w14:paraId="38B8677D" w14:textId="77777777" w:rsidR="00A7032A" w:rsidRPr="00632D1F" w:rsidRDefault="00A7032A" w:rsidP="00A7032A">
      <w:pPr>
        <w:pStyle w:val="Sangra2detindependiente"/>
        <w:spacing w:after="0"/>
        <w:ind w:left="0"/>
      </w:pPr>
    </w:p>
    <w:p w14:paraId="29484288" w14:textId="7B77BFC0" w:rsidR="00A7032A" w:rsidRPr="00632D1F" w:rsidRDefault="00A7032A" w:rsidP="00C56CCD">
      <w:pPr>
        <w:pStyle w:val="Sangra2detindependiente"/>
        <w:spacing w:after="60"/>
        <w:ind w:left="0"/>
      </w:pPr>
      <w:r w:rsidRPr="00632D1F">
        <w:t xml:space="preserve">Artículo </w:t>
      </w:r>
      <w:r w:rsidR="00AB4A01" w:rsidRPr="00632D1F">
        <w:t>8</w:t>
      </w:r>
      <w:r w:rsidRPr="00632D1F">
        <w:t>.  Validez de las transmisiones electrónicas de datos</w:t>
      </w:r>
    </w:p>
    <w:p w14:paraId="3D97DA41" w14:textId="77777777" w:rsidR="00DF47FC" w:rsidRDefault="00DF47FC" w:rsidP="00A7032A">
      <w:pPr>
        <w:pStyle w:val="Sangra2detindependiente"/>
        <w:spacing w:after="0"/>
        <w:ind w:left="0"/>
        <w:rPr>
          <w:b w:val="0"/>
        </w:rPr>
      </w:pPr>
    </w:p>
    <w:p w14:paraId="542D18C6" w14:textId="46EE4347" w:rsidR="00A7032A" w:rsidRPr="00632D1F" w:rsidRDefault="00A7032A" w:rsidP="00A7032A">
      <w:pPr>
        <w:pStyle w:val="Sangra2detindependiente"/>
        <w:spacing w:after="0"/>
        <w:ind w:left="0"/>
        <w:rPr>
          <w:b w:val="0"/>
        </w:rPr>
      </w:pPr>
      <w:r w:rsidRPr="00632D1F">
        <w:rPr>
          <w:b w:val="0"/>
        </w:rPr>
        <w:t xml:space="preserve">Las transmisiones electrónicas de datos efectuadas por los funcionarios de las </w:t>
      </w:r>
      <w:r w:rsidR="008F651B" w:rsidRPr="00632D1F">
        <w:rPr>
          <w:b w:val="0"/>
        </w:rPr>
        <w:t>e</w:t>
      </w:r>
      <w:r w:rsidRPr="00632D1F">
        <w:rPr>
          <w:b w:val="0"/>
        </w:rPr>
        <w:t xml:space="preserve">ntidades </w:t>
      </w:r>
      <w:r w:rsidR="008F651B" w:rsidRPr="00632D1F">
        <w:rPr>
          <w:b w:val="0"/>
        </w:rPr>
        <w:t>s</w:t>
      </w:r>
      <w:r w:rsidRPr="00632D1F">
        <w:rPr>
          <w:b w:val="0"/>
        </w:rPr>
        <w:t xml:space="preserve">upervisadas, debidamente identificados por el sistema, serán válidas y eficaces, surtiendo todos los efectos legales y probatorios, a partir de la fecha y hora que queden disponibles en las bases de datos de la </w:t>
      </w:r>
      <w:r w:rsidR="008F651B" w:rsidRPr="00632D1F">
        <w:rPr>
          <w:b w:val="0"/>
        </w:rPr>
        <w:t>SUPEN</w:t>
      </w:r>
      <w:r w:rsidRPr="00632D1F">
        <w:rPr>
          <w:b w:val="0"/>
        </w:rPr>
        <w:t>. Tanto los documentos electrónicos remitidos a través de</w:t>
      </w:r>
      <w:r w:rsidR="00C75777">
        <w:rPr>
          <w:b w:val="0"/>
        </w:rPr>
        <w:t xml:space="preserve"> </w:t>
      </w:r>
      <w:r w:rsidRPr="00632D1F">
        <w:rPr>
          <w:b w:val="0"/>
        </w:rPr>
        <w:t>l</w:t>
      </w:r>
      <w:r w:rsidR="00C75777">
        <w:rPr>
          <w:b w:val="0"/>
        </w:rPr>
        <w:t>a</w:t>
      </w:r>
      <w:r w:rsidRPr="00632D1F">
        <w:rPr>
          <w:b w:val="0"/>
        </w:rPr>
        <w:t xml:space="preserve"> </w:t>
      </w:r>
      <w:r w:rsidR="003F1B43" w:rsidRPr="00632D1F">
        <w:rPr>
          <w:b w:val="0"/>
        </w:rPr>
        <w:t>VES</w:t>
      </w:r>
      <w:r w:rsidRPr="00632D1F">
        <w:rPr>
          <w:b w:val="0"/>
        </w:rPr>
        <w:t xml:space="preserve"> (o cualquier otro medio electrónico) como sus versiones impresas en soporte papel, serán reconocidos como medio de prueba en la vía administrativa y judicial.</w:t>
      </w:r>
    </w:p>
    <w:p w14:paraId="611C34B3" w14:textId="77777777" w:rsidR="008F651B" w:rsidRPr="00632D1F" w:rsidRDefault="008F651B" w:rsidP="00A7032A">
      <w:pPr>
        <w:pStyle w:val="Sangra2detindependiente"/>
        <w:spacing w:after="0"/>
        <w:ind w:left="0"/>
        <w:rPr>
          <w:b w:val="0"/>
        </w:rPr>
      </w:pPr>
    </w:p>
    <w:p w14:paraId="121EAFE4" w14:textId="49447BE4" w:rsidR="00A7032A" w:rsidRDefault="00A7032A" w:rsidP="00A7032A">
      <w:pPr>
        <w:pStyle w:val="Sangra2detindependiente"/>
        <w:spacing w:after="0"/>
        <w:ind w:left="0"/>
        <w:rPr>
          <w:b w:val="0"/>
        </w:rPr>
      </w:pPr>
      <w:r w:rsidRPr="00632D1F">
        <w:rPr>
          <w:b w:val="0"/>
        </w:rPr>
        <w:t>La fecha y hora generada automáticamente por el sistema se tendrá por cierta salvo prueba en contrario.</w:t>
      </w:r>
    </w:p>
    <w:p w14:paraId="6351B9A9" w14:textId="6B238026" w:rsidR="0034704A" w:rsidRDefault="0034704A" w:rsidP="00A7032A">
      <w:pPr>
        <w:pStyle w:val="Sangra2detindependiente"/>
        <w:spacing w:after="0"/>
        <w:ind w:left="0"/>
        <w:rPr>
          <w:b w:val="0"/>
        </w:rPr>
      </w:pPr>
    </w:p>
    <w:p w14:paraId="4BF8263E" w14:textId="00EACDC8" w:rsidR="0034704A" w:rsidRDefault="0034704A" w:rsidP="00A7032A">
      <w:pPr>
        <w:pStyle w:val="Sangra2detindependiente"/>
        <w:spacing w:after="0"/>
        <w:ind w:left="0"/>
        <w:rPr>
          <w:b w:val="0"/>
        </w:rPr>
      </w:pPr>
    </w:p>
    <w:p w14:paraId="4AE52C8D" w14:textId="77777777" w:rsidR="0034704A" w:rsidRPr="00632D1F" w:rsidRDefault="0034704A" w:rsidP="00A7032A">
      <w:pPr>
        <w:pStyle w:val="Sangra2detindependiente"/>
        <w:spacing w:after="0"/>
        <w:ind w:left="0"/>
        <w:rPr>
          <w:b w:val="0"/>
        </w:rPr>
      </w:pPr>
    </w:p>
    <w:p w14:paraId="3E4E70C8" w14:textId="77777777" w:rsidR="00A7032A" w:rsidRPr="00632D1F" w:rsidRDefault="00A7032A" w:rsidP="00A7032A">
      <w:pPr>
        <w:pStyle w:val="Sangra2detindependiente"/>
        <w:spacing w:after="0"/>
        <w:ind w:left="0"/>
        <w:rPr>
          <w:b w:val="0"/>
        </w:rPr>
      </w:pPr>
    </w:p>
    <w:p w14:paraId="42E8DEBB" w14:textId="20A82C5E" w:rsidR="00A7032A" w:rsidRPr="00632D1F" w:rsidRDefault="00A7032A" w:rsidP="00C56CCD">
      <w:pPr>
        <w:pStyle w:val="Sangra2detindependiente"/>
        <w:spacing w:after="60"/>
        <w:ind w:left="0"/>
      </w:pPr>
      <w:r w:rsidRPr="00632D1F">
        <w:t xml:space="preserve">Artículo </w:t>
      </w:r>
      <w:r w:rsidR="00632D1F">
        <w:t>9</w:t>
      </w:r>
      <w:r w:rsidRPr="00632D1F">
        <w:t>.  Comunicación de circunstancias de fuerza mayor o caso fortuito</w:t>
      </w:r>
    </w:p>
    <w:p w14:paraId="6FF5D95E" w14:textId="77777777" w:rsidR="00DF47FC" w:rsidRDefault="00DF47FC" w:rsidP="00A7032A">
      <w:pPr>
        <w:pStyle w:val="Sangra2detindependiente"/>
        <w:spacing w:after="0"/>
        <w:ind w:left="0"/>
        <w:rPr>
          <w:b w:val="0"/>
        </w:rPr>
      </w:pPr>
    </w:p>
    <w:p w14:paraId="7AB5750F" w14:textId="6E9BF43E" w:rsidR="00A7032A" w:rsidRPr="00632D1F" w:rsidRDefault="00A7032A" w:rsidP="00A7032A">
      <w:pPr>
        <w:pStyle w:val="Sangra2detindependiente"/>
        <w:spacing w:after="0"/>
        <w:ind w:left="0"/>
        <w:rPr>
          <w:b w:val="0"/>
        </w:rPr>
      </w:pPr>
      <w:r w:rsidRPr="00632D1F">
        <w:rPr>
          <w:b w:val="0"/>
        </w:rPr>
        <w:t xml:space="preserve">Si por circunstancias de fuerza mayor o caso fortuito la </w:t>
      </w:r>
      <w:r w:rsidR="008F651B" w:rsidRPr="00632D1F">
        <w:rPr>
          <w:b w:val="0"/>
        </w:rPr>
        <w:t>e</w:t>
      </w:r>
      <w:r w:rsidRPr="00632D1F">
        <w:rPr>
          <w:b w:val="0"/>
        </w:rPr>
        <w:t xml:space="preserve">ntidad </w:t>
      </w:r>
      <w:r w:rsidR="008F651B" w:rsidRPr="00632D1F">
        <w:rPr>
          <w:b w:val="0"/>
        </w:rPr>
        <w:t>s</w:t>
      </w:r>
      <w:r w:rsidRPr="00632D1F">
        <w:rPr>
          <w:b w:val="0"/>
        </w:rPr>
        <w:t xml:space="preserve">upervisada no pudiera suministrar y procesar la información en los plazos establecidos en esta normativa, deberá presentar por escrito </w:t>
      </w:r>
      <w:r w:rsidR="0098460E" w:rsidRPr="00632D1F">
        <w:rPr>
          <w:b w:val="0"/>
        </w:rPr>
        <w:t>a la S</w:t>
      </w:r>
      <w:r w:rsidR="0098460E">
        <w:rPr>
          <w:b w:val="0"/>
        </w:rPr>
        <w:t>UPEN</w:t>
      </w:r>
      <w:r w:rsidR="0098460E" w:rsidRPr="00632D1F">
        <w:rPr>
          <w:b w:val="0"/>
        </w:rPr>
        <w:t xml:space="preserve"> una explicación detallada de la situación</w:t>
      </w:r>
      <w:r w:rsidR="00B82B58">
        <w:rPr>
          <w:b w:val="0"/>
        </w:rPr>
        <w:t xml:space="preserve">, </w:t>
      </w:r>
      <w:r w:rsidRPr="00632D1F">
        <w:rPr>
          <w:b w:val="0"/>
        </w:rPr>
        <w:t>firmad</w:t>
      </w:r>
      <w:r w:rsidR="00B82B58">
        <w:rPr>
          <w:b w:val="0"/>
        </w:rPr>
        <w:t>a</w:t>
      </w:r>
      <w:r w:rsidRPr="00632D1F">
        <w:rPr>
          <w:b w:val="0"/>
        </w:rPr>
        <w:t xml:space="preserve"> por el </w:t>
      </w:r>
      <w:r w:rsidR="008F651B" w:rsidRPr="00632D1F">
        <w:rPr>
          <w:b w:val="0"/>
        </w:rPr>
        <w:t>máximo jerarca de la entidad supervisada</w:t>
      </w:r>
      <w:r w:rsidR="00B965AF">
        <w:rPr>
          <w:b w:val="0"/>
        </w:rPr>
        <w:t xml:space="preserve"> o quien de forma transitoria ocupe dicho puesto</w:t>
      </w:r>
      <w:r w:rsidR="008F651B" w:rsidRPr="00632D1F">
        <w:rPr>
          <w:b w:val="0"/>
        </w:rPr>
        <w:t xml:space="preserve">, </w:t>
      </w:r>
      <w:r w:rsidRPr="00632D1F">
        <w:rPr>
          <w:b w:val="0"/>
        </w:rPr>
        <w:t>el plan de acción y plazo para ajustarse a lo establecido en estas disposiciones.</w:t>
      </w:r>
    </w:p>
    <w:p w14:paraId="1E58CB72" w14:textId="77777777" w:rsidR="00A7032A" w:rsidRPr="00632D1F" w:rsidRDefault="00A7032A" w:rsidP="00A7032A">
      <w:pPr>
        <w:pStyle w:val="Sangra2detindependiente"/>
        <w:spacing w:after="0"/>
        <w:ind w:left="0"/>
        <w:rPr>
          <w:b w:val="0"/>
        </w:rPr>
      </w:pPr>
    </w:p>
    <w:p w14:paraId="4F8185CB" w14:textId="7EC6A486" w:rsidR="00A7032A" w:rsidRPr="00632D1F" w:rsidRDefault="00A7032A" w:rsidP="00A7032A">
      <w:pPr>
        <w:pStyle w:val="Sangra2detindependiente"/>
        <w:spacing w:after="0"/>
        <w:ind w:left="0"/>
        <w:rPr>
          <w:b w:val="0"/>
        </w:rPr>
      </w:pPr>
      <w:r w:rsidRPr="00632D1F">
        <w:rPr>
          <w:b w:val="0"/>
        </w:rPr>
        <w:t xml:space="preserve">Los plazos </w:t>
      </w:r>
      <w:r w:rsidR="00B965AF">
        <w:rPr>
          <w:b w:val="0"/>
        </w:rPr>
        <w:t xml:space="preserve">máximos </w:t>
      </w:r>
      <w:r w:rsidRPr="00632D1F">
        <w:rPr>
          <w:b w:val="0"/>
        </w:rPr>
        <w:t xml:space="preserve">para comunicar las situaciones de fuerza mayor o caso fortuito son los </w:t>
      </w:r>
      <w:r w:rsidR="00B965AF">
        <w:rPr>
          <w:b w:val="0"/>
        </w:rPr>
        <w:t>mismos que se establecen en el artículo 2 anterior.</w:t>
      </w:r>
    </w:p>
    <w:p w14:paraId="5F243A6C" w14:textId="178D337D" w:rsidR="004669EB" w:rsidRDefault="00A7032A" w:rsidP="00A7032A">
      <w:pPr>
        <w:spacing w:line="240" w:lineRule="auto"/>
        <w:jc w:val="both"/>
        <w:rPr>
          <w:rFonts w:cs="Times New Roman"/>
        </w:rPr>
      </w:pPr>
      <w:r w:rsidRPr="00632D1F">
        <w:rPr>
          <w:rFonts w:cs="Times New Roman"/>
        </w:rPr>
        <w:t xml:space="preserve">La </w:t>
      </w:r>
      <w:r w:rsidR="00937154">
        <w:rPr>
          <w:rFonts w:cs="Times New Roman"/>
        </w:rPr>
        <w:t>SUPEN</w:t>
      </w:r>
      <w:r w:rsidRPr="00632D1F">
        <w:rPr>
          <w:rFonts w:cs="Times New Roman"/>
        </w:rPr>
        <w:t xml:space="preserve"> se reserva el derecho de aceptar o rechazar las justificaciones que se le remitan, según la valoración que realice al efecto.</w:t>
      </w:r>
    </w:p>
    <w:p w14:paraId="2C61F8B0" w14:textId="77777777" w:rsidR="004669EB" w:rsidRDefault="004669EB" w:rsidP="00A7032A">
      <w:pPr>
        <w:spacing w:line="240" w:lineRule="auto"/>
        <w:jc w:val="both"/>
        <w:rPr>
          <w:rFonts w:cs="Times New Roman"/>
        </w:rPr>
      </w:pPr>
    </w:p>
    <w:p w14:paraId="0693CE36" w14:textId="3C13A530" w:rsidR="00A7032A" w:rsidRPr="00632D1F" w:rsidRDefault="004669EB" w:rsidP="00A7032A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="00A7032A" w:rsidRPr="00632D1F">
        <w:rPr>
          <w:rFonts w:cs="Times New Roman"/>
        </w:rPr>
        <w:t>o se aceptará como justificación válida la referencia a situaciones reiteradas o previsibles.</w:t>
      </w:r>
    </w:p>
    <w:p w14:paraId="6F5A97A6" w14:textId="77777777" w:rsidR="00A7032A" w:rsidRPr="00632D1F" w:rsidRDefault="00A7032A" w:rsidP="00A7032A">
      <w:pPr>
        <w:spacing w:line="240" w:lineRule="auto"/>
        <w:jc w:val="both"/>
        <w:rPr>
          <w:rFonts w:cs="Times New Roman"/>
        </w:rPr>
      </w:pPr>
    </w:p>
    <w:p w14:paraId="0F2BA27F" w14:textId="6EBAE89D" w:rsidR="00A7032A" w:rsidRPr="00632D1F" w:rsidRDefault="00A7032A" w:rsidP="00C56CCD">
      <w:pPr>
        <w:pStyle w:val="Sangra2detindependiente"/>
        <w:spacing w:after="60"/>
        <w:ind w:left="0"/>
      </w:pPr>
      <w:r w:rsidRPr="00632D1F">
        <w:t>Artículo 1</w:t>
      </w:r>
      <w:r w:rsidR="00632D1F">
        <w:t>0</w:t>
      </w:r>
      <w:r w:rsidRPr="00632D1F">
        <w:t>.  Publicación de los estados financieros</w:t>
      </w:r>
    </w:p>
    <w:p w14:paraId="4F87BB63" w14:textId="77777777" w:rsidR="00FF6B5D" w:rsidRDefault="00FF6B5D" w:rsidP="00A7032A">
      <w:pPr>
        <w:spacing w:line="240" w:lineRule="auto"/>
        <w:jc w:val="both"/>
        <w:rPr>
          <w:rFonts w:cs="Times New Roman"/>
          <w:szCs w:val="24"/>
          <w:lang w:val="es-CR"/>
        </w:rPr>
      </w:pPr>
    </w:p>
    <w:p w14:paraId="498F249C" w14:textId="54AEC350" w:rsidR="00E84031" w:rsidRPr="002279CE" w:rsidRDefault="00A7032A" w:rsidP="00A7032A">
      <w:pPr>
        <w:spacing w:line="240" w:lineRule="auto"/>
        <w:jc w:val="both"/>
        <w:rPr>
          <w:rFonts w:cs="Times New Roman"/>
          <w:szCs w:val="24"/>
          <w:lang w:val="es-CR"/>
        </w:rPr>
      </w:pPr>
      <w:r w:rsidRPr="002279CE">
        <w:rPr>
          <w:rFonts w:cs="Times New Roman"/>
          <w:szCs w:val="24"/>
          <w:lang w:val="es-CR"/>
        </w:rPr>
        <w:t xml:space="preserve">Los estados financieros </w:t>
      </w:r>
      <w:r w:rsidR="000E0E03" w:rsidRPr="002279CE">
        <w:rPr>
          <w:rFonts w:cs="Times New Roman"/>
          <w:szCs w:val="24"/>
          <w:lang w:val="es-CR"/>
        </w:rPr>
        <w:t xml:space="preserve">de las entidades </w:t>
      </w:r>
      <w:r w:rsidR="001C0696" w:rsidRPr="002279CE">
        <w:rPr>
          <w:rFonts w:cs="Times New Roman"/>
          <w:szCs w:val="24"/>
          <w:lang w:val="es-CR"/>
        </w:rPr>
        <w:t xml:space="preserve">supervisadas </w:t>
      </w:r>
      <w:r w:rsidR="000E0E03" w:rsidRPr="002279CE">
        <w:rPr>
          <w:rFonts w:cs="Times New Roman"/>
          <w:szCs w:val="24"/>
          <w:lang w:val="es-CR"/>
        </w:rPr>
        <w:t xml:space="preserve">y </w:t>
      </w:r>
      <w:r w:rsidR="00134A6E" w:rsidRPr="002279CE">
        <w:rPr>
          <w:rFonts w:cs="Times New Roman"/>
          <w:szCs w:val="24"/>
          <w:lang w:val="es-CR"/>
        </w:rPr>
        <w:t xml:space="preserve">de los </w:t>
      </w:r>
      <w:r w:rsidR="000E0E03" w:rsidRPr="002279CE">
        <w:rPr>
          <w:rFonts w:cs="Times New Roman"/>
          <w:szCs w:val="24"/>
          <w:lang w:val="es-CR"/>
        </w:rPr>
        <w:t xml:space="preserve">fondos </w:t>
      </w:r>
      <w:r w:rsidR="00134A6E" w:rsidRPr="002279CE">
        <w:rPr>
          <w:rFonts w:cs="Times New Roman"/>
          <w:szCs w:val="24"/>
          <w:lang w:val="es-CR"/>
        </w:rPr>
        <w:t xml:space="preserve">administrados por éstas </w:t>
      </w:r>
      <w:r w:rsidR="000E0E03" w:rsidRPr="002279CE">
        <w:rPr>
          <w:rFonts w:cs="Times New Roman"/>
          <w:szCs w:val="24"/>
          <w:lang w:val="es-CR"/>
        </w:rPr>
        <w:t xml:space="preserve">deben ser publicados </w:t>
      </w:r>
      <w:r w:rsidR="00E84031" w:rsidRPr="002279CE">
        <w:rPr>
          <w:rFonts w:cs="Times New Roman"/>
          <w:szCs w:val="24"/>
          <w:lang w:eastAsia="es-CR"/>
        </w:rPr>
        <w:t xml:space="preserve">en el sitio electrónico </w:t>
      </w:r>
      <w:r w:rsidR="00712247" w:rsidRPr="002279CE">
        <w:rPr>
          <w:rFonts w:cs="Times New Roman"/>
          <w:szCs w:val="24"/>
          <w:lang w:eastAsia="es-CR"/>
        </w:rPr>
        <w:t>oficial</w:t>
      </w:r>
      <w:r w:rsidR="00E84031" w:rsidRPr="002279CE">
        <w:rPr>
          <w:rFonts w:cs="Times New Roman"/>
          <w:szCs w:val="24"/>
          <w:lang w:eastAsia="es-CR"/>
        </w:rPr>
        <w:t>, según los siguientes plazos:</w:t>
      </w:r>
    </w:p>
    <w:p w14:paraId="37FAE334" w14:textId="77777777" w:rsidR="00E84031" w:rsidRPr="00632D1F" w:rsidRDefault="00E84031" w:rsidP="00A7032A">
      <w:pPr>
        <w:spacing w:line="240" w:lineRule="auto"/>
        <w:jc w:val="both"/>
        <w:rPr>
          <w:rFonts w:cs="Times New Roman"/>
          <w:lang w:val="es-CR"/>
        </w:rPr>
      </w:pPr>
    </w:p>
    <w:tbl>
      <w:tblPr>
        <w:tblW w:w="8647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7"/>
        <w:gridCol w:w="4830"/>
      </w:tblGrid>
      <w:tr w:rsidR="00E84031" w:rsidRPr="00632D1F" w14:paraId="7674B4CB" w14:textId="77777777" w:rsidTr="00CF0BFE">
        <w:trPr>
          <w:trHeight w:val="255"/>
        </w:trPr>
        <w:tc>
          <w:tcPr>
            <w:tcW w:w="3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9067B56" w14:textId="77777777" w:rsidR="00E84031" w:rsidRPr="00632D1F" w:rsidRDefault="00E84031" w:rsidP="003544D1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2"/>
                <w:lang w:eastAsia="es-CR"/>
              </w:rPr>
            </w:pPr>
            <w:r w:rsidRPr="00632D1F">
              <w:rPr>
                <w:rFonts w:cs="Times New Roman"/>
                <w:b/>
                <w:bCs/>
                <w:color w:val="000000"/>
                <w:sz w:val="22"/>
                <w:lang w:eastAsia="es-CR"/>
              </w:rPr>
              <w:t>Descripción</w:t>
            </w:r>
          </w:p>
        </w:tc>
        <w:tc>
          <w:tcPr>
            <w:tcW w:w="48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8B658AD" w14:textId="77777777" w:rsidR="00E84031" w:rsidRPr="00632D1F" w:rsidRDefault="00E84031" w:rsidP="003544D1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2"/>
                <w:lang w:eastAsia="es-CR"/>
              </w:rPr>
            </w:pPr>
            <w:r w:rsidRPr="00632D1F">
              <w:rPr>
                <w:rFonts w:cs="Times New Roman"/>
                <w:b/>
                <w:bCs/>
                <w:color w:val="000000"/>
                <w:sz w:val="22"/>
                <w:lang w:eastAsia="es-CR"/>
              </w:rPr>
              <w:t>Plazo</w:t>
            </w:r>
          </w:p>
        </w:tc>
      </w:tr>
      <w:tr w:rsidR="008F2EAA" w:rsidRPr="00632D1F" w14:paraId="068392E3" w14:textId="77777777" w:rsidTr="00CF0BFE">
        <w:trPr>
          <w:trHeight w:val="510"/>
        </w:trPr>
        <w:tc>
          <w:tcPr>
            <w:tcW w:w="3817" w:type="dxa"/>
            <w:tcBorders>
              <w:top w:val="double" w:sz="4" w:space="0" w:color="auto"/>
            </w:tcBorders>
            <w:shd w:val="clear" w:color="auto" w:fill="auto"/>
          </w:tcPr>
          <w:p w14:paraId="27BDBEFC" w14:textId="317678AA" w:rsidR="008F2EAA" w:rsidRPr="00632D1F" w:rsidRDefault="00732983" w:rsidP="00A508F2">
            <w:pPr>
              <w:widowControl w:val="0"/>
              <w:spacing w:line="276" w:lineRule="auto"/>
              <w:jc w:val="both"/>
              <w:rPr>
                <w:rFonts w:cs="Times New Roman"/>
                <w:color w:val="000000"/>
                <w:sz w:val="22"/>
                <w:lang w:eastAsia="es-CR"/>
              </w:rPr>
            </w:pPr>
            <w:r w:rsidRPr="00632D1F">
              <w:rPr>
                <w:rFonts w:cs="Times New Roman"/>
                <w:color w:val="000000"/>
                <w:sz w:val="22"/>
                <w:lang w:eastAsia="es-CR"/>
              </w:rPr>
              <w:t xml:space="preserve">Estados financieros </w:t>
            </w:r>
            <w:r w:rsidR="008F2EAA" w:rsidRPr="00632D1F">
              <w:rPr>
                <w:rFonts w:cs="Times New Roman"/>
                <w:color w:val="000000"/>
                <w:sz w:val="22"/>
                <w:lang w:eastAsia="es-CR"/>
              </w:rPr>
              <w:t>intermedi</w:t>
            </w:r>
            <w:r w:rsidRPr="00632D1F">
              <w:rPr>
                <w:rFonts w:cs="Times New Roman"/>
                <w:color w:val="000000"/>
                <w:sz w:val="22"/>
                <w:lang w:eastAsia="es-CR"/>
              </w:rPr>
              <w:t>os</w:t>
            </w:r>
          </w:p>
        </w:tc>
        <w:tc>
          <w:tcPr>
            <w:tcW w:w="4830" w:type="dxa"/>
            <w:tcBorders>
              <w:top w:val="double" w:sz="4" w:space="0" w:color="auto"/>
            </w:tcBorders>
            <w:shd w:val="clear" w:color="auto" w:fill="auto"/>
          </w:tcPr>
          <w:p w14:paraId="3554851E" w14:textId="77777777" w:rsidR="008F2EAA" w:rsidRPr="00632D1F" w:rsidRDefault="008F2EAA" w:rsidP="00A508F2">
            <w:pPr>
              <w:widowControl w:val="0"/>
              <w:spacing w:line="276" w:lineRule="auto"/>
              <w:jc w:val="both"/>
              <w:rPr>
                <w:rFonts w:cs="Times New Roman"/>
                <w:color w:val="000000"/>
                <w:sz w:val="22"/>
                <w:lang w:eastAsia="es-CR"/>
              </w:rPr>
            </w:pPr>
            <w:r w:rsidRPr="00632D1F">
              <w:rPr>
                <w:rFonts w:cs="Times New Roman"/>
                <w:color w:val="000000"/>
                <w:sz w:val="22"/>
                <w:lang w:eastAsia="es-CR"/>
              </w:rPr>
              <w:t>En el transcurso del mes siguiente a la fecha de corte de cada periodo trimestral</w:t>
            </w:r>
          </w:p>
        </w:tc>
      </w:tr>
      <w:tr w:rsidR="00E84031" w:rsidRPr="00632D1F" w14:paraId="132ADA18" w14:textId="77777777" w:rsidTr="00CF0BFE">
        <w:trPr>
          <w:trHeight w:val="821"/>
        </w:trPr>
        <w:tc>
          <w:tcPr>
            <w:tcW w:w="3817" w:type="dxa"/>
            <w:shd w:val="clear" w:color="auto" w:fill="auto"/>
            <w:hideMark/>
          </w:tcPr>
          <w:p w14:paraId="7648C8AD" w14:textId="569F507F" w:rsidR="00E84031" w:rsidRPr="00632D1F" w:rsidRDefault="00E84031" w:rsidP="00A508F2">
            <w:pPr>
              <w:widowControl w:val="0"/>
              <w:spacing w:line="276" w:lineRule="auto"/>
              <w:jc w:val="both"/>
              <w:rPr>
                <w:rFonts w:cs="Times New Roman"/>
                <w:color w:val="000000"/>
                <w:sz w:val="22"/>
                <w:lang w:eastAsia="es-CR"/>
              </w:rPr>
            </w:pPr>
            <w:r w:rsidRPr="00632D1F">
              <w:rPr>
                <w:rFonts w:cs="Times New Roman"/>
                <w:color w:val="000000"/>
                <w:sz w:val="22"/>
                <w:lang w:eastAsia="es-CR"/>
              </w:rPr>
              <w:t>Estados financieros auditados completos</w:t>
            </w:r>
          </w:p>
        </w:tc>
        <w:tc>
          <w:tcPr>
            <w:tcW w:w="4830" w:type="dxa"/>
            <w:shd w:val="clear" w:color="auto" w:fill="auto"/>
            <w:hideMark/>
          </w:tcPr>
          <w:p w14:paraId="61479BA4" w14:textId="02E6BDAC" w:rsidR="00E84031" w:rsidRPr="00632D1F" w:rsidRDefault="00E84031" w:rsidP="00A508F2">
            <w:pPr>
              <w:widowControl w:val="0"/>
              <w:spacing w:line="276" w:lineRule="auto"/>
              <w:jc w:val="both"/>
              <w:rPr>
                <w:rFonts w:cs="Times New Roman"/>
                <w:color w:val="000000"/>
                <w:sz w:val="22"/>
                <w:lang w:eastAsia="es-CR"/>
              </w:rPr>
            </w:pPr>
            <w:r w:rsidRPr="00632D1F">
              <w:rPr>
                <w:rFonts w:cs="Times New Roman"/>
                <w:color w:val="000000"/>
                <w:sz w:val="22"/>
                <w:lang w:eastAsia="es-CR"/>
              </w:rPr>
              <w:t>Cuarenta y cinco días hábiles posteriores al último día del ejercicio económico anterior</w:t>
            </w:r>
          </w:p>
        </w:tc>
      </w:tr>
    </w:tbl>
    <w:p w14:paraId="0C9A706D" w14:textId="5507F47D" w:rsidR="001245A8" w:rsidRPr="00632D1F" w:rsidRDefault="001245A8" w:rsidP="00A7032A">
      <w:pPr>
        <w:spacing w:line="240" w:lineRule="auto"/>
        <w:jc w:val="both"/>
        <w:rPr>
          <w:rFonts w:cs="Times New Roman"/>
          <w:lang w:val="es-CR"/>
        </w:rPr>
      </w:pPr>
    </w:p>
    <w:p w14:paraId="1805A786" w14:textId="78DF95E2" w:rsidR="00A7032A" w:rsidRPr="00632D1F" w:rsidRDefault="00134A6E" w:rsidP="00A7032A">
      <w:pPr>
        <w:spacing w:line="240" w:lineRule="auto"/>
        <w:jc w:val="both"/>
        <w:rPr>
          <w:rFonts w:cs="Times New Roman"/>
          <w:lang w:val="es-CR"/>
        </w:rPr>
      </w:pPr>
      <w:r w:rsidRPr="00632D1F">
        <w:rPr>
          <w:rFonts w:cs="Times New Roman"/>
          <w:lang w:val="es-CR"/>
        </w:rPr>
        <w:t xml:space="preserve">En el caso de los </w:t>
      </w:r>
      <w:r w:rsidR="001A4B30" w:rsidRPr="00632D1F">
        <w:rPr>
          <w:rFonts w:cs="Times New Roman"/>
          <w:lang w:val="es-CR"/>
        </w:rPr>
        <w:t>r</w:t>
      </w:r>
      <w:r w:rsidR="00A7032A" w:rsidRPr="00632D1F">
        <w:rPr>
          <w:rFonts w:cs="Times New Roman"/>
          <w:lang w:val="es-CR"/>
        </w:rPr>
        <w:t xml:space="preserve">egímenes </w:t>
      </w:r>
      <w:r w:rsidR="001A4B30" w:rsidRPr="00632D1F">
        <w:rPr>
          <w:rFonts w:cs="Times New Roman"/>
          <w:lang w:val="es-CR"/>
        </w:rPr>
        <w:t>de pensiones b</w:t>
      </w:r>
      <w:r w:rsidR="00A7032A" w:rsidRPr="00632D1F">
        <w:rPr>
          <w:rFonts w:cs="Times New Roman"/>
          <w:lang w:val="es-CR"/>
        </w:rPr>
        <w:t xml:space="preserve">ásicos y </w:t>
      </w:r>
      <w:r w:rsidR="001A4B30" w:rsidRPr="00632D1F">
        <w:rPr>
          <w:rFonts w:cs="Times New Roman"/>
          <w:lang w:val="es-CR"/>
        </w:rPr>
        <w:t>c</w:t>
      </w:r>
      <w:r w:rsidR="00A7032A" w:rsidRPr="00632D1F">
        <w:rPr>
          <w:rFonts w:cs="Times New Roman"/>
          <w:lang w:val="es-CR"/>
        </w:rPr>
        <w:t xml:space="preserve">omplementarios, </w:t>
      </w:r>
      <w:r w:rsidR="004669EB">
        <w:rPr>
          <w:rFonts w:cs="Times New Roman"/>
          <w:lang w:val="es-CR"/>
        </w:rPr>
        <w:t>los</w:t>
      </w:r>
      <w:r w:rsidR="00DD0439" w:rsidRPr="00632D1F">
        <w:rPr>
          <w:rFonts w:cs="Times New Roman"/>
          <w:lang w:val="es-CR"/>
        </w:rPr>
        <w:t xml:space="preserve"> estados </w:t>
      </w:r>
      <w:r w:rsidR="00A7032A" w:rsidRPr="00632D1F">
        <w:rPr>
          <w:rFonts w:cs="Times New Roman"/>
          <w:lang w:val="es-CR"/>
        </w:rPr>
        <w:t>deben ser publicados en un medio de comunicación interno de la entidad que los creó</w:t>
      </w:r>
      <w:r w:rsidR="00473AC7" w:rsidRPr="00632D1F">
        <w:rPr>
          <w:rFonts w:cs="Times New Roman"/>
          <w:lang w:val="es-CR"/>
        </w:rPr>
        <w:t>.</w:t>
      </w:r>
      <w:r w:rsidR="00A7032A" w:rsidRPr="00632D1F">
        <w:rPr>
          <w:rFonts w:cs="Times New Roman"/>
          <w:lang w:val="es-CR"/>
        </w:rPr>
        <w:t xml:space="preserve"> Además, deberán mantenerse disponibles para consulta de los afiliados en las oficinas administrativas del </w:t>
      </w:r>
      <w:r w:rsidR="001A4B30" w:rsidRPr="00632D1F">
        <w:rPr>
          <w:rFonts w:cs="Times New Roman"/>
          <w:lang w:val="es-CR"/>
        </w:rPr>
        <w:t>r</w:t>
      </w:r>
      <w:r w:rsidR="00A7032A" w:rsidRPr="00632D1F">
        <w:rPr>
          <w:rFonts w:cs="Times New Roman"/>
          <w:lang w:val="es-CR"/>
        </w:rPr>
        <w:t xml:space="preserve">égimen o </w:t>
      </w:r>
      <w:r w:rsidR="001A4B30" w:rsidRPr="00632D1F">
        <w:rPr>
          <w:rFonts w:cs="Times New Roman"/>
          <w:lang w:val="es-CR"/>
        </w:rPr>
        <w:t>f</w:t>
      </w:r>
      <w:r w:rsidR="00A7032A" w:rsidRPr="00632D1F">
        <w:rPr>
          <w:rFonts w:cs="Times New Roman"/>
          <w:lang w:val="es-CR"/>
        </w:rPr>
        <w:t>ondo.</w:t>
      </w:r>
    </w:p>
    <w:p w14:paraId="2BF8864D" w14:textId="77777777" w:rsidR="00A7032A" w:rsidRPr="00632D1F" w:rsidRDefault="00A7032A" w:rsidP="00A7032A">
      <w:pPr>
        <w:pStyle w:val="Sangra2detindependiente"/>
        <w:spacing w:after="0"/>
        <w:ind w:left="0"/>
        <w:rPr>
          <w:lang w:val="es-CR"/>
        </w:rPr>
      </w:pPr>
    </w:p>
    <w:p w14:paraId="0B0A2E59" w14:textId="137AC068" w:rsidR="00A7032A" w:rsidRPr="00632D1F" w:rsidRDefault="00A7032A" w:rsidP="00C56CCD">
      <w:pPr>
        <w:pStyle w:val="Sangra2detindependiente"/>
        <w:spacing w:after="60"/>
        <w:ind w:left="0"/>
        <w:rPr>
          <w:bCs w:val="0"/>
          <w:lang w:val="es-CR"/>
        </w:rPr>
      </w:pPr>
      <w:r w:rsidRPr="00632D1F">
        <w:t>Artículo 1</w:t>
      </w:r>
      <w:r w:rsidR="00632D1F">
        <w:t>1</w:t>
      </w:r>
      <w:r w:rsidRPr="00632D1F">
        <w:t>.  Información remitida por correo electrónico</w:t>
      </w:r>
    </w:p>
    <w:p w14:paraId="777DE6BA" w14:textId="77777777" w:rsidR="00FF6B5D" w:rsidRDefault="00FF6B5D" w:rsidP="00A7032A">
      <w:pPr>
        <w:spacing w:line="240" w:lineRule="auto"/>
        <w:jc w:val="both"/>
        <w:rPr>
          <w:rFonts w:cs="Times New Roman"/>
          <w:bCs/>
          <w:lang w:val="es-CR"/>
        </w:rPr>
      </w:pPr>
    </w:p>
    <w:p w14:paraId="20A0C74E" w14:textId="5C1A4961" w:rsidR="00A7032A" w:rsidRPr="00632D1F" w:rsidRDefault="00C97AEA" w:rsidP="00A7032A">
      <w:pPr>
        <w:spacing w:line="240" w:lineRule="auto"/>
        <w:jc w:val="both"/>
        <w:rPr>
          <w:rFonts w:cs="Times New Roman"/>
          <w:bCs/>
          <w:lang w:val="es-CR"/>
        </w:rPr>
      </w:pPr>
      <w:r w:rsidRPr="00632D1F">
        <w:rPr>
          <w:rFonts w:cs="Times New Roman"/>
          <w:bCs/>
          <w:lang w:val="es-CR"/>
        </w:rPr>
        <w:t>L</w:t>
      </w:r>
      <w:r w:rsidR="00A7032A" w:rsidRPr="00632D1F">
        <w:rPr>
          <w:rFonts w:cs="Times New Roman"/>
          <w:bCs/>
          <w:lang w:val="es-CR"/>
        </w:rPr>
        <w:t>a información que se remit</w:t>
      </w:r>
      <w:r w:rsidRPr="00632D1F">
        <w:rPr>
          <w:rFonts w:cs="Times New Roman"/>
          <w:bCs/>
          <w:lang w:val="es-CR"/>
        </w:rPr>
        <w:t xml:space="preserve">a </w:t>
      </w:r>
      <w:r w:rsidR="00A7032A" w:rsidRPr="00632D1F">
        <w:rPr>
          <w:rFonts w:cs="Times New Roman"/>
          <w:bCs/>
          <w:lang w:val="es-CR"/>
        </w:rPr>
        <w:t>mediante correo electrónico</w:t>
      </w:r>
      <w:r w:rsidR="00BF7239">
        <w:rPr>
          <w:rFonts w:cs="Times New Roman"/>
          <w:bCs/>
          <w:lang w:val="es-CR"/>
        </w:rPr>
        <w:t>,</w:t>
      </w:r>
      <w:r w:rsidR="00A7032A" w:rsidRPr="00632D1F">
        <w:rPr>
          <w:rFonts w:cs="Times New Roman"/>
          <w:bCs/>
          <w:lang w:val="es-CR"/>
        </w:rPr>
        <w:t xml:space="preserve"> según se indica en el </w:t>
      </w:r>
      <w:r w:rsidR="00A75004" w:rsidRPr="00632D1F">
        <w:rPr>
          <w:rFonts w:cs="Times New Roman"/>
          <w:bCs/>
          <w:lang w:val="es-CR"/>
        </w:rPr>
        <w:t>a</w:t>
      </w:r>
      <w:r w:rsidR="00A7032A" w:rsidRPr="00632D1F">
        <w:rPr>
          <w:rFonts w:cs="Times New Roman"/>
          <w:bCs/>
          <w:lang w:val="es-CR"/>
        </w:rPr>
        <w:t>rtículo 2</w:t>
      </w:r>
      <w:r w:rsidRPr="00632D1F">
        <w:rPr>
          <w:rFonts w:cs="Times New Roman"/>
          <w:bCs/>
          <w:lang w:val="es-CR"/>
        </w:rPr>
        <w:t>,</w:t>
      </w:r>
      <w:r w:rsidR="00A7032A" w:rsidRPr="00632D1F">
        <w:rPr>
          <w:rFonts w:cs="Times New Roman"/>
          <w:bCs/>
          <w:lang w:val="es-CR"/>
        </w:rPr>
        <w:t xml:space="preserve"> </w:t>
      </w:r>
      <w:r w:rsidRPr="00632D1F">
        <w:rPr>
          <w:rFonts w:cs="Times New Roman"/>
          <w:bCs/>
          <w:lang w:val="es-CR"/>
        </w:rPr>
        <w:t>debe ser enviada a la siguiente dirección electrónica</w:t>
      </w:r>
      <w:r w:rsidR="00A7032A" w:rsidRPr="00632D1F">
        <w:rPr>
          <w:rFonts w:cs="Times New Roman"/>
          <w:bCs/>
          <w:lang w:val="es-CR"/>
        </w:rPr>
        <w:t xml:space="preserve">: </w:t>
      </w:r>
      <w:hyperlink r:id="rId11" w:history="1">
        <w:r w:rsidR="00A7032A" w:rsidRPr="00632D1F">
          <w:rPr>
            <w:rStyle w:val="Hipervnculo"/>
            <w:rFonts w:cs="Times New Roman"/>
            <w:bCs/>
            <w:lang w:val="es-CR"/>
          </w:rPr>
          <w:t>supen@supen.fi.cr</w:t>
        </w:r>
      </w:hyperlink>
      <w:r w:rsidR="00A7032A" w:rsidRPr="00632D1F">
        <w:rPr>
          <w:rFonts w:cs="Times New Roman"/>
          <w:bCs/>
          <w:lang w:val="es-CR"/>
        </w:rPr>
        <w:t>.</w:t>
      </w:r>
    </w:p>
    <w:p w14:paraId="530AACF0" w14:textId="77777777" w:rsidR="00A7032A" w:rsidRPr="00632D1F" w:rsidRDefault="00A7032A" w:rsidP="00A7032A">
      <w:pPr>
        <w:spacing w:line="240" w:lineRule="auto"/>
        <w:jc w:val="both"/>
        <w:rPr>
          <w:rFonts w:cs="Times New Roman"/>
          <w:b/>
          <w:lang w:val="es-CR"/>
        </w:rPr>
      </w:pPr>
    </w:p>
    <w:p w14:paraId="5B995677" w14:textId="04FCB211" w:rsidR="00A7032A" w:rsidRPr="00632D1F" w:rsidRDefault="00A7032A" w:rsidP="00A7032A">
      <w:pPr>
        <w:spacing w:line="240" w:lineRule="auto"/>
        <w:jc w:val="both"/>
        <w:rPr>
          <w:rFonts w:cs="Times New Roman"/>
          <w:bCs/>
          <w:lang w:val="es-CR"/>
        </w:rPr>
      </w:pPr>
      <w:r w:rsidRPr="00632D1F">
        <w:rPr>
          <w:rFonts w:cs="Times New Roman"/>
          <w:bCs/>
          <w:lang w:val="es-CR"/>
        </w:rPr>
        <w:t>La entidad deberá comunicar a la S</w:t>
      </w:r>
      <w:r w:rsidR="00694F29">
        <w:rPr>
          <w:rFonts w:cs="Times New Roman"/>
          <w:bCs/>
          <w:lang w:val="es-CR"/>
        </w:rPr>
        <w:t>UPEN</w:t>
      </w:r>
      <w:r w:rsidRPr="00632D1F">
        <w:rPr>
          <w:rFonts w:cs="Times New Roman"/>
          <w:bCs/>
          <w:lang w:val="es-CR"/>
        </w:rPr>
        <w:t xml:space="preserve"> el nombre de las personas autorizadas para remitir la información establecida en el presente acuerdo y sus respectivas direcciones electrónicas.</w:t>
      </w:r>
    </w:p>
    <w:p w14:paraId="249706EC" w14:textId="77777777" w:rsidR="00A7032A" w:rsidRPr="00632D1F" w:rsidRDefault="00A7032A" w:rsidP="00A7032A">
      <w:pPr>
        <w:spacing w:line="240" w:lineRule="auto"/>
        <w:jc w:val="both"/>
        <w:rPr>
          <w:rFonts w:cs="Times New Roman"/>
          <w:bCs/>
          <w:lang w:val="es-CR"/>
        </w:rPr>
      </w:pPr>
    </w:p>
    <w:p w14:paraId="50F15098" w14:textId="10D136F0" w:rsidR="00A7032A" w:rsidRPr="00632D1F" w:rsidRDefault="00A7032A" w:rsidP="00A7032A">
      <w:pPr>
        <w:spacing w:line="240" w:lineRule="auto"/>
        <w:jc w:val="both"/>
        <w:rPr>
          <w:rFonts w:cs="Times New Roman"/>
          <w:szCs w:val="24"/>
        </w:rPr>
      </w:pPr>
      <w:r w:rsidRPr="00632D1F">
        <w:rPr>
          <w:rFonts w:cs="Times New Roman"/>
          <w:bCs/>
          <w:lang w:val="es-CR"/>
        </w:rPr>
        <w:t xml:space="preserve">Las entidades </w:t>
      </w:r>
      <w:r w:rsidRPr="00632D1F">
        <w:rPr>
          <w:rFonts w:cs="Times New Roman"/>
          <w:bCs/>
          <w:szCs w:val="24"/>
          <w:lang w:val="es-CR"/>
        </w:rPr>
        <w:t>supervisadas que remitan información mediante correo electrónico u otro medio alternativo, deberán observar las normas establecidas respecto de la confidencialidad y responsabilidad por la integridad y autenticidad de los datos</w:t>
      </w:r>
      <w:r w:rsidRPr="00632D1F">
        <w:rPr>
          <w:rFonts w:cs="Times New Roman"/>
          <w:szCs w:val="24"/>
        </w:rPr>
        <w:t>.</w:t>
      </w:r>
    </w:p>
    <w:p w14:paraId="45355207" w14:textId="02AD439D" w:rsidR="0067469B" w:rsidRPr="00632D1F" w:rsidRDefault="0067469B" w:rsidP="00A7032A">
      <w:pPr>
        <w:spacing w:line="240" w:lineRule="auto"/>
        <w:jc w:val="both"/>
        <w:rPr>
          <w:rFonts w:cs="Times New Roman"/>
          <w:bCs/>
          <w:szCs w:val="24"/>
          <w:lang w:val="es-CR"/>
        </w:rPr>
      </w:pPr>
    </w:p>
    <w:p w14:paraId="562FFC35" w14:textId="0340F0E2" w:rsidR="00F41723" w:rsidRPr="00632D1F" w:rsidRDefault="00BF7239" w:rsidP="00F41723">
      <w:pPr>
        <w:widowControl w:val="0"/>
        <w:jc w:val="both"/>
        <w:rPr>
          <w:rFonts w:cs="Times New Roman"/>
          <w:b/>
          <w:bCs/>
          <w:szCs w:val="24"/>
          <w:lang w:eastAsia="es-CR"/>
        </w:rPr>
      </w:pPr>
      <w:r>
        <w:rPr>
          <w:rFonts w:cs="Times New Roman"/>
          <w:b/>
          <w:bCs/>
          <w:szCs w:val="24"/>
          <w:lang w:eastAsia="es-CR"/>
        </w:rPr>
        <w:t xml:space="preserve">II. </w:t>
      </w:r>
      <w:r w:rsidR="00F41723" w:rsidRPr="00632D1F">
        <w:rPr>
          <w:rFonts w:cs="Times New Roman"/>
          <w:b/>
          <w:bCs/>
          <w:szCs w:val="24"/>
          <w:lang w:eastAsia="es-CR"/>
        </w:rPr>
        <w:t>Derogatorias</w:t>
      </w:r>
    </w:p>
    <w:p w14:paraId="19303DE8" w14:textId="63750C23" w:rsidR="00F41723" w:rsidRPr="00632D1F" w:rsidRDefault="004804DD" w:rsidP="00741AF7">
      <w:pPr>
        <w:spacing w:line="240" w:lineRule="auto"/>
        <w:jc w:val="both"/>
        <w:rPr>
          <w:rFonts w:cs="Times New Roman"/>
          <w:bCs/>
          <w:szCs w:val="24"/>
          <w:lang w:val="es-CR"/>
        </w:rPr>
      </w:pPr>
      <w:bookmarkStart w:id="1" w:name="_Hlk10034561"/>
      <w:r w:rsidRPr="00632D1F">
        <w:rPr>
          <w:rFonts w:cs="Times New Roman"/>
          <w:bCs/>
          <w:szCs w:val="24"/>
          <w:lang w:val="es-CR"/>
        </w:rPr>
        <w:t xml:space="preserve">Se derogan los </w:t>
      </w:r>
      <w:r w:rsidR="00F41723" w:rsidRPr="00632D1F">
        <w:rPr>
          <w:rFonts w:cs="Times New Roman"/>
          <w:bCs/>
          <w:szCs w:val="24"/>
          <w:lang w:val="es-CR"/>
        </w:rPr>
        <w:t>acuerdos</w:t>
      </w:r>
      <w:r w:rsidR="009B3129">
        <w:rPr>
          <w:rFonts w:cs="Times New Roman"/>
          <w:bCs/>
          <w:szCs w:val="24"/>
          <w:lang w:val="es-CR"/>
        </w:rPr>
        <w:t xml:space="preserve"> </w:t>
      </w:r>
      <w:r w:rsidR="009B3129" w:rsidRPr="009B3129">
        <w:rPr>
          <w:rFonts w:cs="Times New Roman"/>
          <w:bCs/>
          <w:szCs w:val="24"/>
          <w:lang w:val="es-CR"/>
        </w:rPr>
        <w:t>SP-A-142-2010</w:t>
      </w:r>
      <w:r w:rsidR="009B3129">
        <w:rPr>
          <w:rFonts w:cs="Times New Roman"/>
          <w:bCs/>
          <w:szCs w:val="24"/>
          <w:lang w:val="es-CR"/>
        </w:rPr>
        <w:t xml:space="preserve"> de </w:t>
      </w:r>
      <w:r w:rsidR="009B3129" w:rsidRPr="009B3129">
        <w:rPr>
          <w:rFonts w:cs="Times New Roman"/>
          <w:bCs/>
          <w:szCs w:val="24"/>
          <w:lang w:val="es-CR"/>
        </w:rPr>
        <w:t>las doce horas</w:t>
      </w:r>
      <w:r w:rsidR="009B3129">
        <w:rPr>
          <w:rFonts w:cs="Times New Roman"/>
          <w:bCs/>
          <w:szCs w:val="24"/>
          <w:lang w:val="es-CR"/>
        </w:rPr>
        <w:t xml:space="preserve"> </w:t>
      </w:r>
      <w:r w:rsidR="009B3129" w:rsidRPr="009B3129">
        <w:rPr>
          <w:rFonts w:cs="Times New Roman"/>
          <w:bCs/>
          <w:szCs w:val="24"/>
          <w:lang w:val="es-CR"/>
        </w:rPr>
        <w:t xml:space="preserve">del tres de junio de </w:t>
      </w:r>
      <w:r w:rsidR="000E5965">
        <w:rPr>
          <w:rFonts w:cs="Times New Roman"/>
          <w:bCs/>
          <w:szCs w:val="24"/>
          <w:lang w:val="es-CR"/>
        </w:rPr>
        <w:t>2010</w:t>
      </w:r>
      <w:r w:rsidR="00756E05">
        <w:rPr>
          <w:rFonts w:cs="Times New Roman"/>
          <w:bCs/>
          <w:szCs w:val="24"/>
          <w:lang w:val="es-CR"/>
        </w:rPr>
        <w:t>;</w:t>
      </w:r>
      <w:r w:rsidR="009B3129">
        <w:rPr>
          <w:rFonts w:cs="Times New Roman"/>
          <w:bCs/>
          <w:szCs w:val="24"/>
          <w:lang w:val="es-CR"/>
        </w:rPr>
        <w:t xml:space="preserve"> </w:t>
      </w:r>
      <w:r w:rsidR="00741AF7" w:rsidRPr="00741AF7">
        <w:rPr>
          <w:rFonts w:cs="Times New Roman"/>
          <w:bCs/>
          <w:szCs w:val="24"/>
          <w:lang w:val="es-CR"/>
        </w:rPr>
        <w:t>SP-A-058</w:t>
      </w:r>
      <w:r w:rsidR="00B431B5">
        <w:rPr>
          <w:rFonts w:cs="Times New Roman"/>
          <w:bCs/>
          <w:szCs w:val="24"/>
          <w:lang w:val="es-CR"/>
        </w:rPr>
        <w:t>,</w:t>
      </w:r>
      <w:r w:rsidR="00741AF7">
        <w:rPr>
          <w:rFonts w:cs="Times New Roman"/>
          <w:bCs/>
          <w:szCs w:val="24"/>
          <w:lang w:val="es-CR"/>
        </w:rPr>
        <w:t xml:space="preserve"> </w:t>
      </w:r>
      <w:r w:rsidR="00741AF7" w:rsidRPr="00BC0374">
        <w:rPr>
          <w:rFonts w:cs="Times New Roman"/>
          <w:bCs/>
          <w:i/>
          <w:szCs w:val="24"/>
          <w:lang w:val="es-CR"/>
        </w:rPr>
        <w:t>Disposiciones para la confección, remisión y publicación de la información requerida a los regímenes básicos y fondos de pensión complementarios creados por ley especial supervisados por la Superintendencia de Pensiones</w:t>
      </w:r>
      <w:r w:rsidR="00741AF7">
        <w:rPr>
          <w:rFonts w:cs="Times New Roman"/>
          <w:bCs/>
          <w:szCs w:val="24"/>
          <w:lang w:val="es-CR"/>
        </w:rPr>
        <w:t>, de</w:t>
      </w:r>
      <w:r w:rsidR="00BC0374">
        <w:rPr>
          <w:rFonts w:cs="Times New Roman"/>
          <w:bCs/>
          <w:szCs w:val="24"/>
          <w:lang w:val="es-CR"/>
        </w:rPr>
        <w:t>l</w:t>
      </w:r>
      <w:r w:rsidR="00741AF7">
        <w:rPr>
          <w:rFonts w:cs="Times New Roman"/>
          <w:bCs/>
          <w:szCs w:val="24"/>
          <w:lang w:val="es-CR"/>
        </w:rPr>
        <w:t xml:space="preserve"> </w:t>
      </w:r>
      <w:r w:rsidR="00317485">
        <w:rPr>
          <w:rFonts w:cs="Times New Roman"/>
          <w:bCs/>
          <w:szCs w:val="24"/>
          <w:lang w:val="es-CR"/>
        </w:rPr>
        <w:t>15 de diciembre de 2004</w:t>
      </w:r>
      <w:r w:rsidR="00D83895" w:rsidRPr="00C825E6">
        <w:rPr>
          <w:rFonts w:cs="Times New Roman"/>
          <w:bCs/>
          <w:szCs w:val="24"/>
          <w:lang w:val="es-CR"/>
        </w:rPr>
        <w:t>; y, el oficio SP-887 del 17 de junio de 2002, “Disposiciones sobre la remisión de la información requerida por la Superintendencia de Pensiones”</w:t>
      </w:r>
      <w:r w:rsidR="00A31557" w:rsidRPr="00C825E6">
        <w:rPr>
          <w:rFonts w:cs="Times New Roman"/>
          <w:bCs/>
          <w:szCs w:val="24"/>
          <w:lang w:val="es-CR"/>
        </w:rPr>
        <w:t>.</w:t>
      </w:r>
    </w:p>
    <w:bookmarkEnd w:id="1"/>
    <w:p w14:paraId="58ECF639" w14:textId="77777777" w:rsidR="003C2DA1" w:rsidRPr="00632D1F" w:rsidRDefault="003C2DA1" w:rsidP="0067469B">
      <w:pPr>
        <w:spacing w:line="240" w:lineRule="auto"/>
        <w:jc w:val="both"/>
        <w:rPr>
          <w:rFonts w:cs="Times New Roman"/>
          <w:b/>
          <w:szCs w:val="24"/>
          <w:lang w:val="es-CR"/>
        </w:rPr>
      </w:pPr>
    </w:p>
    <w:p w14:paraId="457E85A2" w14:textId="53683DE2" w:rsidR="0067469B" w:rsidRDefault="00BF7239" w:rsidP="0067469B">
      <w:pPr>
        <w:pStyle w:val="Sangra2detindependiente"/>
        <w:spacing w:after="60"/>
        <w:ind w:left="0"/>
      </w:pPr>
      <w:r>
        <w:t xml:space="preserve">III. </w:t>
      </w:r>
      <w:r w:rsidR="0067469B" w:rsidRPr="00632D1F">
        <w:t>Vigencia</w:t>
      </w:r>
    </w:p>
    <w:p w14:paraId="611AE582" w14:textId="77777777" w:rsidR="002F2D58" w:rsidRPr="00632D1F" w:rsidRDefault="002F2D58" w:rsidP="0067469B">
      <w:pPr>
        <w:pStyle w:val="Sangra2detindependiente"/>
        <w:spacing w:after="60"/>
        <w:ind w:left="0"/>
      </w:pPr>
    </w:p>
    <w:p w14:paraId="21D983FA" w14:textId="22751E61" w:rsidR="0067469B" w:rsidRPr="00632D1F" w:rsidRDefault="0067469B" w:rsidP="0067469B">
      <w:pPr>
        <w:pStyle w:val="Textoindependiente3"/>
        <w:spacing w:before="0"/>
        <w:rPr>
          <w:color w:val="auto"/>
        </w:rPr>
      </w:pPr>
      <w:r w:rsidRPr="00632D1F">
        <w:rPr>
          <w:color w:val="auto"/>
        </w:rPr>
        <w:lastRenderedPageBreak/>
        <w:t>Estas disposiciones rigen a partir del 1</w:t>
      </w:r>
      <w:r w:rsidR="00BA456D">
        <w:rPr>
          <w:color w:val="auto"/>
        </w:rPr>
        <w:t>°</w:t>
      </w:r>
      <w:r w:rsidRPr="00632D1F">
        <w:rPr>
          <w:color w:val="auto"/>
        </w:rPr>
        <w:t xml:space="preserve"> de enero de 2020, en concordancia con la entrada en vigencia del </w:t>
      </w:r>
      <w:r w:rsidRPr="002B7FF4">
        <w:rPr>
          <w:i/>
          <w:color w:val="auto"/>
        </w:rPr>
        <w:t xml:space="preserve">Reglamento de </w:t>
      </w:r>
      <w:r w:rsidR="00C01A50" w:rsidRPr="002B7FF4">
        <w:rPr>
          <w:i/>
          <w:color w:val="auto"/>
        </w:rPr>
        <w:t>I</w:t>
      </w:r>
      <w:r w:rsidRPr="002B7FF4">
        <w:rPr>
          <w:i/>
          <w:color w:val="auto"/>
        </w:rPr>
        <w:t xml:space="preserve">nformación </w:t>
      </w:r>
      <w:r w:rsidR="00C01A50" w:rsidRPr="002B7FF4">
        <w:rPr>
          <w:i/>
          <w:color w:val="auto"/>
        </w:rPr>
        <w:t>F</w:t>
      </w:r>
      <w:r w:rsidRPr="002B7FF4">
        <w:rPr>
          <w:i/>
          <w:color w:val="auto"/>
        </w:rPr>
        <w:t>inanciera</w:t>
      </w:r>
      <w:r w:rsidRPr="007235BF">
        <w:rPr>
          <w:color w:val="auto"/>
        </w:rPr>
        <w:t xml:space="preserve"> y</w:t>
      </w:r>
      <w:r w:rsidRPr="00632D1F">
        <w:rPr>
          <w:color w:val="auto"/>
        </w:rPr>
        <w:t xml:space="preserve"> las modificaciones al Manual de </w:t>
      </w:r>
      <w:r w:rsidR="007235BF">
        <w:rPr>
          <w:color w:val="auto"/>
        </w:rPr>
        <w:t>I</w:t>
      </w:r>
      <w:r w:rsidRPr="00632D1F">
        <w:rPr>
          <w:color w:val="auto"/>
        </w:rPr>
        <w:t xml:space="preserve">nformación para las </w:t>
      </w:r>
      <w:r w:rsidR="007235BF">
        <w:rPr>
          <w:color w:val="auto"/>
        </w:rPr>
        <w:t>E</w:t>
      </w:r>
      <w:r w:rsidRPr="00632D1F">
        <w:rPr>
          <w:color w:val="auto"/>
        </w:rPr>
        <w:t xml:space="preserve">ntidades </w:t>
      </w:r>
      <w:r w:rsidR="007235BF">
        <w:rPr>
          <w:color w:val="auto"/>
        </w:rPr>
        <w:t>S</w:t>
      </w:r>
      <w:r w:rsidRPr="00632D1F">
        <w:rPr>
          <w:color w:val="auto"/>
        </w:rPr>
        <w:t xml:space="preserve">upervisadas y </w:t>
      </w:r>
      <w:r w:rsidR="007235BF">
        <w:rPr>
          <w:color w:val="auto"/>
        </w:rPr>
        <w:t>F</w:t>
      </w:r>
      <w:r w:rsidRPr="00632D1F">
        <w:rPr>
          <w:color w:val="auto"/>
        </w:rPr>
        <w:t xml:space="preserve">ondos </w:t>
      </w:r>
      <w:r w:rsidR="007235BF">
        <w:rPr>
          <w:color w:val="auto"/>
        </w:rPr>
        <w:t>A</w:t>
      </w:r>
      <w:r w:rsidRPr="00632D1F">
        <w:rPr>
          <w:color w:val="auto"/>
        </w:rPr>
        <w:t>dministrados.</w:t>
      </w:r>
    </w:p>
    <w:p w14:paraId="30A8C56B" w14:textId="77777777" w:rsidR="0067469B" w:rsidRPr="00632D1F" w:rsidRDefault="0067469B" w:rsidP="0067469B">
      <w:pPr>
        <w:rPr>
          <w:rFonts w:cs="Times New Roman"/>
        </w:rPr>
      </w:pPr>
    </w:p>
    <w:p w14:paraId="6BE0A327" w14:textId="1C6887F4" w:rsidR="003C2DA1" w:rsidRPr="00632D1F" w:rsidRDefault="00F41723" w:rsidP="00F41723">
      <w:pPr>
        <w:spacing w:line="276" w:lineRule="auto"/>
        <w:rPr>
          <w:rFonts w:cs="Times New Roman"/>
        </w:rPr>
      </w:pPr>
      <w:r w:rsidRPr="00632D1F">
        <w:rPr>
          <w:rFonts w:cs="Times New Roman"/>
        </w:rPr>
        <w:t>Comuníquese.</w:t>
      </w:r>
    </w:p>
    <w:p w14:paraId="18831D6C" w14:textId="77777777" w:rsidR="00F41723" w:rsidRPr="00632D1F" w:rsidRDefault="00F41723" w:rsidP="00F41723">
      <w:pPr>
        <w:spacing w:line="276" w:lineRule="auto"/>
        <w:rPr>
          <w:rFonts w:cs="Times New Roman"/>
        </w:rPr>
      </w:pPr>
      <w:r w:rsidRPr="00632D1F">
        <w:rPr>
          <w:rFonts w:cs="Times New Roman"/>
          <w:noProof/>
          <w:lang w:val="es-CR" w:eastAsia="es-CR"/>
        </w:rPr>
        <w:drawing>
          <wp:inline distT="0" distB="0" distL="0" distR="0" wp14:anchorId="5E225BBF" wp14:editId="67269855">
            <wp:extent cx="1244600" cy="4826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rmadig_centrad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C6902" w14:textId="77777777" w:rsidR="00F41723" w:rsidRPr="00632D1F" w:rsidRDefault="00F41723" w:rsidP="00F41723">
      <w:pPr>
        <w:pStyle w:val="Encabezado"/>
        <w:rPr>
          <w:rFonts w:cs="Times New Roman"/>
        </w:rPr>
      </w:pPr>
      <w:r w:rsidRPr="00632D1F">
        <w:rPr>
          <w:rFonts w:cs="Times New Roman"/>
        </w:rPr>
        <w:t>Álvaro Ramos Chaves</w:t>
      </w:r>
    </w:p>
    <w:p w14:paraId="4304D04A" w14:textId="197B2EB1" w:rsidR="00F41723" w:rsidRPr="00B87026" w:rsidRDefault="00F41723" w:rsidP="00B87026">
      <w:pPr>
        <w:pStyle w:val="Encabezado"/>
        <w:rPr>
          <w:rFonts w:cs="Times New Roman"/>
        </w:rPr>
      </w:pPr>
      <w:r w:rsidRPr="00632D1F">
        <w:rPr>
          <w:rFonts w:cs="Times New Roman"/>
        </w:rPr>
        <w:t>Superintendente de Pensiones</w:t>
      </w:r>
    </w:p>
    <w:p w14:paraId="5CB9E979" w14:textId="2C4BC4EB" w:rsidR="00512F3E" w:rsidRPr="00632D1F" w:rsidRDefault="00512F3E" w:rsidP="00F41723">
      <w:pPr>
        <w:spacing w:line="276" w:lineRule="auto"/>
        <w:rPr>
          <w:rFonts w:cs="Times New Roman"/>
          <w:sz w:val="20"/>
        </w:rPr>
      </w:pPr>
    </w:p>
    <w:p w14:paraId="71CE29A2" w14:textId="6B8EC1FD" w:rsidR="00512F3E" w:rsidRDefault="00512F3E" w:rsidP="00F41723">
      <w:pPr>
        <w:spacing w:line="276" w:lineRule="auto"/>
        <w:rPr>
          <w:rFonts w:cs="Times New Roman"/>
          <w:sz w:val="20"/>
        </w:rPr>
      </w:pPr>
    </w:p>
    <w:p w14:paraId="5EB4FF2B" w14:textId="77777777" w:rsidR="00CD3571" w:rsidRPr="00632D1F" w:rsidRDefault="00CD3571" w:rsidP="00F41723">
      <w:pPr>
        <w:spacing w:line="276" w:lineRule="auto"/>
        <w:rPr>
          <w:rFonts w:cs="Times New Roman"/>
          <w:sz w:val="20"/>
        </w:rPr>
      </w:pPr>
    </w:p>
    <w:p w14:paraId="2AB7897D" w14:textId="067A0237" w:rsidR="00F41723" w:rsidRPr="00632D1F" w:rsidRDefault="00F41723" w:rsidP="00F41723">
      <w:pPr>
        <w:spacing w:line="276" w:lineRule="auto"/>
        <w:rPr>
          <w:rFonts w:cs="Times New Roman"/>
          <w:i/>
          <w:color w:val="FF0000"/>
          <w:sz w:val="18"/>
        </w:rPr>
      </w:pPr>
      <w:r w:rsidRPr="00632D1F">
        <w:rPr>
          <w:rFonts w:cs="Times New Roman"/>
          <w:sz w:val="18"/>
        </w:rPr>
        <w:t>Aprobado por</w:t>
      </w:r>
      <w:r w:rsidR="00C71049">
        <w:rPr>
          <w:rFonts w:cs="Times New Roman"/>
          <w:sz w:val="18"/>
        </w:rPr>
        <w:t xml:space="preserve"> YSCh</w:t>
      </w:r>
      <w:r w:rsidR="00CD3571">
        <w:rPr>
          <w:rFonts w:cs="Times New Roman"/>
          <w:sz w:val="18"/>
        </w:rPr>
        <w:t>., PAR y ARI</w:t>
      </w:r>
    </w:p>
    <w:p w14:paraId="407FC44B" w14:textId="27F410BD" w:rsidR="00C97AEA" w:rsidRPr="00632D1F" w:rsidRDefault="00C97AEA" w:rsidP="00A7032A">
      <w:pPr>
        <w:pStyle w:val="Textoindependiente3"/>
        <w:spacing w:before="0"/>
        <w:rPr>
          <w:color w:val="auto"/>
        </w:rPr>
      </w:pPr>
    </w:p>
    <w:p w14:paraId="380E8C7A" w14:textId="392D801A" w:rsidR="000D6B8B" w:rsidRDefault="000D6B8B" w:rsidP="00A7032A">
      <w:pPr>
        <w:pStyle w:val="Textoindependiente3"/>
        <w:spacing w:before="0"/>
        <w:rPr>
          <w:color w:val="auto"/>
        </w:rPr>
      </w:pPr>
    </w:p>
    <w:p w14:paraId="2BC935E8" w14:textId="12540FA9" w:rsidR="00A7032A" w:rsidRPr="00A31557" w:rsidRDefault="000D6B8B" w:rsidP="00A31557">
      <w:pPr>
        <w:pStyle w:val="Textoindependiente3"/>
        <w:jc w:val="center"/>
        <w:rPr>
          <w:color w:val="auto"/>
        </w:rPr>
      </w:pPr>
      <w:r>
        <w:rPr>
          <w:b/>
          <w:color w:val="auto"/>
          <w:sz w:val="26"/>
          <w:szCs w:val="26"/>
        </w:rPr>
        <w:t>A</w:t>
      </w:r>
      <w:r w:rsidR="00A7032A" w:rsidRPr="00A31557">
        <w:rPr>
          <w:b/>
          <w:color w:val="auto"/>
          <w:sz w:val="26"/>
          <w:szCs w:val="26"/>
        </w:rPr>
        <w:t xml:space="preserve">nexo </w:t>
      </w:r>
      <w:r w:rsidR="005B0787">
        <w:rPr>
          <w:b/>
          <w:color w:val="auto"/>
          <w:sz w:val="26"/>
          <w:szCs w:val="26"/>
        </w:rPr>
        <w:t xml:space="preserve"># </w:t>
      </w:r>
      <w:r w:rsidR="00A7032A" w:rsidRPr="00A31557">
        <w:rPr>
          <w:b/>
          <w:color w:val="auto"/>
          <w:sz w:val="26"/>
          <w:szCs w:val="26"/>
        </w:rPr>
        <w:t>1</w:t>
      </w:r>
    </w:p>
    <w:p w14:paraId="02BD6A71" w14:textId="7128122D" w:rsidR="00626145" w:rsidRDefault="00626145" w:rsidP="00C5152F">
      <w:pPr>
        <w:ind w:right="338"/>
        <w:jc w:val="center"/>
        <w:rPr>
          <w:b/>
          <w:lang w:val="es-CR"/>
        </w:rPr>
      </w:pPr>
    </w:p>
    <w:bookmarkStart w:id="2" w:name="_MON_1627738369"/>
    <w:bookmarkEnd w:id="2"/>
    <w:p w14:paraId="1EECD0B1" w14:textId="7812DA53" w:rsidR="00BF4520" w:rsidRDefault="00AF3FA6" w:rsidP="00BF4520">
      <w:pPr>
        <w:ind w:right="338"/>
        <w:jc w:val="center"/>
        <w:rPr>
          <w:b/>
          <w:lang w:val="es-CR"/>
        </w:rPr>
      </w:pPr>
      <w:r>
        <w:object w:dxaOrig="1562" w:dyaOrig="1011" w14:anchorId="16EEBC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0.1pt" o:ole="">
            <v:imagedata r:id="rId13" o:title=""/>
          </v:shape>
          <o:OLEObject Type="Embed" ProgID="Excel.Sheet.12" ShapeID="_x0000_i1025" DrawAspect="Icon" ObjectID="_1707222197" r:id="rId14"/>
        </w:object>
      </w:r>
    </w:p>
    <w:p w14:paraId="00E54FC6" w14:textId="1B6B2775" w:rsidR="00626145" w:rsidRDefault="00626145" w:rsidP="00D33B0B">
      <w:pPr>
        <w:ind w:right="338"/>
        <w:rPr>
          <w:b/>
          <w:lang w:val="es-CR"/>
        </w:rPr>
      </w:pPr>
    </w:p>
    <w:sectPr w:rsidR="00626145" w:rsidSect="00387C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8747A" w14:textId="77777777" w:rsidR="00B93B21" w:rsidRDefault="00B93B21" w:rsidP="00011FAB">
      <w:pPr>
        <w:spacing w:line="240" w:lineRule="auto"/>
      </w:pPr>
      <w:r>
        <w:separator/>
      </w:r>
    </w:p>
  </w:endnote>
  <w:endnote w:type="continuationSeparator" w:id="0">
    <w:p w14:paraId="571D2220" w14:textId="77777777" w:rsidR="00B93B21" w:rsidRDefault="00B93B21" w:rsidP="00011FAB">
      <w:pPr>
        <w:spacing w:line="240" w:lineRule="auto"/>
      </w:pPr>
      <w:r>
        <w:continuationSeparator/>
      </w:r>
    </w:p>
  </w:endnote>
  <w:endnote w:type="continuationNotice" w:id="1">
    <w:p w14:paraId="55B181E2" w14:textId="77777777" w:rsidR="00B93B21" w:rsidRDefault="00B93B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8EB32" w14:textId="77777777" w:rsidR="00C97AEA" w:rsidRDefault="00C97A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D2143" w14:textId="77777777" w:rsidR="00C97AEA" w:rsidRDefault="00C97AEA" w:rsidP="003621B6">
    <w:pPr>
      <w:pStyle w:val="Piedepgina"/>
      <w:pBdr>
        <w:top w:val="single" w:sz="4" w:space="1" w:color="auto"/>
      </w:pBdr>
      <w:rPr>
        <w:i/>
        <w:szCs w:val="24"/>
      </w:rPr>
    </w:pPr>
  </w:p>
  <w:p w14:paraId="0BF1EE72" w14:textId="77777777" w:rsidR="00C97AEA" w:rsidRPr="00BE078A" w:rsidRDefault="00C97AEA" w:rsidP="00143694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3CEDD" w14:textId="77777777" w:rsidR="00C97AEA" w:rsidRDefault="00C97AEA" w:rsidP="003621B6">
    <w:pPr>
      <w:pStyle w:val="Piedepgina"/>
      <w:pBdr>
        <w:top w:val="single" w:sz="4" w:space="1" w:color="auto"/>
      </w:pBdr>
      <w:rPr>
        <w:i/>
        <w:szCs w:val="24"/>
      </w:rPr>
    </w:pPr>
  </w:p>
  <w:p w14:paraId="5463E5BA" w14:textId="77777777" w:rsidR="00C97AEA" w:rsidRPr="00BE078A" w:rsidRDefault="00C97AEA" w:rsidP="00594A6E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59095" w14:textId="77777777" w:rsidR="00B93B21" w:rsidRDefault="00B93B21" w:rsidP="00011FAB">
      <w:pPr>
        <w:spacing w:line="240" w:lineRule="auto"/>
      </w:pPr>
      <w:r>
        <w:separator/>
      </w:r>
    </w:p>
  </w:footnote>
  <w:footnote w:type="continuationSeparator" w:id="0">
    <w:p w14:paraId="6170CF71" w14:textId="77777777" w:rsidR="00B93B21" w:rsidRDefault="00B93B21" w:rsidP="00011FAB">
      <w:pPr>
        <w:spacing w:line="240" w:lineRule="auto"/>
      </w:pPr>
      <w:r>
        <w:continuationSeparator/>
      </w:r>
    </w:p>
  </w:footnote>
  <w:footnote w:type="continuationNotice" w:id="1">
    <w:p w14:paraId="1E9A0E89" w14:textId="77777777" w:rsidR="00B93B21" w:rsidRDefault="00B93B21">
      <w:pPr>
        <w:spacing w:line="240" w:lineRule="auto"/>
      </w:pPr>
    </w:p>
  </w:footnote>
  <w:footnote w:id="2">
    <w:p w14:paraId="6A7A4C99" w14:textId="0B89B5FD" w:rsidR="006A798B" w:rsidRPr="006A798B" w:rsidRDefault="006A798B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 w:rsidR="00DF3D01">
        <w:rPr>
          <w:lang w:val="es-CR"/>
        </w:rPr>
        <w:t>Reformado en cuanto al plazo de entrega de la información</w:t>
      </w:r>
      <w:r w:rsidR="00E87A89">
        <w:rPr>
          <w:lang w:val="es-CR"/>
        </w:rPr>
        <w:t xml:space="preserve"> relativa al valor cuota, por el </w:t>
      </w:r>
      <w:hyperlink r:id="rId1" w:history="1">
        <w:r w:rsidR="00E87A89" w:rsidRPr="006D3DB3">
          <w:rPr>
            <w:rStyle w:val="Hipervnculo"/>
            <w:lang w:val="es-CR"/>
          </w:rPr>
          <w:t>SP-A-221</w:t>
        </w:r>
      </w:hyperlink>
      <w:r w:rsidR="006D3DB3">
        <w:rPr>
          <w:lang w:val="es-CR"/>
        </w:rPr>
        <w:t xml:space="preserve"> de </w:t>
      </w:r>
      <w:r w:rsidR="006D3DB3" w:rsidRPr="00BD0C19">
        <w:t xml:space="preserve">las </w:t>
      </w:r>
      <w:r w:rsidR="006D3DB3">
        <w:t>dieciséis</w:t>
      </w:r>
      <w:r w:rsidR="006D3DB3" w:rsidRPr="00BD0C19">
        <w:t xml:space="preserve"> horas del día </w:t>
      </w:r>
      <w:r w:rsidR="006D3DB3">
        <w:t>siete</w:t>
      </w:r>
      <w:r w:rsidR="006D3DB3" w:rsidRPr="00BD0C19">
        <w:t xml:space="preserve"> de </w:t>
      </w:r>
      <w:r w:rsidR="006D3DB3">
        <w:t xml:space="preserve">julio </w:t>
      </w:r>
      <w:r w:rsidR="006D3DB3" w:rsidRPr="00BD0C19">
        <w:t>de 20</w:t>
      </w:r>
      <w:r w:rsidR="006D3DB3">
        <w:t>20.</w:t>
      </w:r>
    </w:p>
  </w:footnote>
  <w:footnote w:id="3">
    <w:p w14:paraId="4E028D66" w14:textId="6780AE9C" w:rsidR="00CC4022" w:rsidRPr="00CC4022" w:rsidRDefault="00CC4022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 w:rsidR="00B13756">
        <w:rPr>
          <w:lang w:val="es-CR"/>
        </w:rPr>
        <w:t xml:space="preserve">Reformado en cuanto </w:t>
      </w:r>
      <w:r w:rsidR="00F22021">
        <w:rPr>
          <w:lang w:val="es-CR"/>
        </w:rPr>
        <w:t xml:space="preserve">a la inclusión del reporte de manejo de liquidez, por el acuerdo </w:t>
      </w:r>
      <w:hyperlink r:id="rId2" w:history="1">
        <w:r w:rsidR="00796EE2" w:rsidRPr="00346AFE">
          <w:rPr>
            <w:rStyle w:val="Hipervnculo"/>
            <w:lang w:val="es-CR"/>
          </w:rPr>
          <w:t>SP-A-236</w:t>
        </w:r>
      </w:hyperlink>
      <w:r w:rsidR="00796EE2">
        <w:rPr>
          <w:lang w:val="es-CR"/>
        </w:rPr>
        <w:t xml:space="preserve"> de las </w:t>
      </w:r>
      <w:r w:rsidR="002A3FED">
        <w:t>quince</w:t>
      </w:r>
      <w:r w:rsidR="002A3FED" w:rsidRPr="00BD0C19">
        <w:t xml:space="preserve"> horas del día </w:t>
      </w:r>
      <w:r w:rsidR="002A3FED">
        <w:t>tres</w:t>
      </w:r>
      <w:r w:rsidR="002A3FED" w:rsidRPr="00BD0C19">
        <w:t xml:space="preserve"> de </w:t>
      </w:r>
      <w:r w:rsidR="002A3FED">
        <w:t xml:space="preserve">marzo </w:t>
      </w:r>
      <w:r w:rsidR="002A3FED" w:rsidRPr="00BD0C19">
        <w:t>de</w:t>
      </w:r>
      <w:r w:rsidR="002A3FED">
        <w:t>l año dos mil veintiuno.</w:t>
      </w:r>
      <w:r w:rsidR="00F22021">
        <w:rPr>
          <w:lang w:val="es-C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8D6C9" w14:textId="77777777" w:rsidR="00C97AEA" w:rsidRDefault="00C97A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0E8A0" w14:textId="77777777" w:rsidR="00C97AEA" w:rsidRPr="00310D45" w:rsidRDefault="00C97AEA" w:rsidP="00143694">
    <w:pPr>
      <w:pStyle w:val="Encabezado"/>
      <w:jc w:val="both"/>
    </w:pPr>
    <w:r>
      <w:rPr>
        <w:noProof/>
        <w:sz w:val="22"/>
      </w:rPr>
      <w:drawing>
        <wp:anchor distT="0" distB="0" distL="114300" distR="114300" simplePos="0" relativeHeight="251658242" behindDoc="1" locked="0" layoutInCell="1" allowOverlap="1" wp14:anchorId="0A3326E7" wp14:editId="6768174D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w:drawing>
        <wp:anchor distT="0" distB="0" distL="114300" distR="114300" simplePos="0" relativeHeight="251658243" behindDoc="0" locked="0" layoutInCell="1" allowOverlap="1" wp14:anchorId="1F52C555" wp14:editId="456917FC">
          <wp:simplePos x="0" y="0"/>
          <wp:positionH relativeFrom="margin">
            <wp:align>right</wp:align>
          </wp:positionH>
          <wp:positionV relativeFrom="paragraph">
            <wp:posOffset>-164465</wp:posOffset>
          </wp:positionV>
          <wp:extent cx="950595" cy="615315"/>
          <wp:effectExtent l="0" t="0" r="1905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93CA1" w14:textId="421CB864" w:rsidR="00C97AEA" w:rsidRPr="00092B79" w:rsidRDefault="00C97AEA" w:rsidP="006B6689">
    <w:pPr>
      <w:pStyle w:val="Encabezado"/>
      <w:rPr>
        <w:b/>
        <w:i/>
        <w:noProof/>
        <w:szCs w:val="24"/>
      </w:rPr>
    </w:pPr>
    <w:r w:rsidRPr="00092B79">
      <w:rPr>
        <w:b/>
        <w:i/>
        <w:szCs w:val="24"/>
      </w:rPr>
      <w:fldChar w:fldCharType="begin"/>
    </w:r>
    <w:r w:rsidRPr="00092B79">
      <w:rPr>
        <w:b/>
        <w:i/>
        <w:szCs w:val="24"/>
      </w:rPr>
      <w:instrText xml:space="preserve"> STYLEREF  Supen_Encabezado  \* MERGEFORMAT </w:instrText>
    </w:r>
    <w:r w:rsidRPr="00092B79">
      <w:rPr>
        <w:b/>
        <w:i/>
        <w:szCs w:val="24"/>
      </w:rPr>
      <w:fldChar w:fldCharType="separate"/>
    </w:r>
    <w:r w:rsidR="00B44B04">
      <w:rPr>
        <w:b/>
        <w:i/>
        <w:noProof/>
        <w:szCs w:val="24"/>
      </w:rPr>
      <w:t>SP-A-211-2019</w:t>
    </w:r>
    <w:r w:rsidRPr="00092B79">
      <w:rPr>
        <w:b/>
        <w:i/>
        <w:noProof/>
        <w:szCs w:val="24"/>
      </w:rPr>
      <w:fldChar w:fldCharType="end"/>
    </w:r>
  </w:p>
  <w:p w14:paraId="7037EC17" w14:textId="77777777" w:rsidR="00C97AEA" w:rsidRDefault="00C97AEA" w:rsidP="006B6689">
    <w:pPr>
      <w:pStyle w:val="Encabezado"/>
      <w:rPr>
        <w:i/>
        <w:szCs w:val="24"/>
      </w:rPr>
    </w:pPr>
    <w:r>
      <w:rPr>
        <w:i/>
        <w:szCs w:val="24"/>
        <w:lang w:val="es-MX"/>
      </w:rPr>
      <w:t xml:space="preserve">Página </w:t>
    </w:r>
    <w:r w:rsidRPr="00DC38D9">
      <w:rPr>
        <w:i/>
        <w:szCs w:val="24"/>
      </w:rPr>
      <w:fldChar w:fldCharType="begin"/>
    </w:r>
    <w:r w:rsidRPr="00DC38D9">
      <w:rPr>
        <w:i/>
        <w:szCs w:val="24"/>
      </w:rPr>
      <w:instrText>PAGE   \* MERGEFORMAT</w:instrText>
    </w:r>
    <w:r w:rsidRPr="00DC38D9">
      <w:rPr>
        <w:i/>
        <w:szCs w:val="24"/>
      </w:rPr>
      <w:fldChar w:fldCharType="separate"/>
    </w:r>
    <w:r>
      <w:rPr>
        <w:i/>
        <w:noProof/>
        <w:szCs w:val="24"/>
      </w:rPr>
      <w:t>2</w:t>
    </w:r>
    <w:r w:rsidRPr="00DC38D9">
      <w:rPr>
        <w:i/>
        <w:szCs w:val="24"/>
      </w:rPr>
      <w:fldChar w:fldCharType="end"/>
    </w:r>
  </w:p>
  <w:p w14:paraId="2C691515" w14:textId="77777777" w:rsidR="00C97AEA" w:rsidRPr="00DC38D9" w:rsidRDefault="00C97AEA" w:rsidP="006B6689">
    <w:pPr>
      <w:pStyle w:val="Encabezado"/>
      <w:rPr>
        <w:i/>
        <w:szCs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932B8" w14:textId="77777777" w:rsidR="00C97AEA" w:rsidRPr="00310D45" w:rsidRDefault="00C97AEA" w:rsidP="009E7767">
    <w:pPr>
      <w:pStyle w:val="Encabezado"/>
      <w:jc w:val="both"/>
    </w:pPr>
    <w:r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211A5F40" wp14:editId="0BC4DA2B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w:drawing>
        <wp:anchor distT="0" distB="0" distL="114300" distR="114300" simplePos="0" relativeHeight="251658241" behindDoc="0" locked="0" layoutInCell="1" allowOverlap="1" wp14:anchorId="19F254C7" wp14:editId="00AB0FC4">
          <wp:simplePos x="0" y="0"/>
          <wp:positionH relativeFrom="margin">
            <wp:align>right</wp:align>
          </wp:positionH>
          <wp:positionV relativeFrom="paragraph">
            <wp:posOffset>-164465</wp:posOffset>
          </wp:positionV>
          <wp:extent cx="950595" cy="615315"/>
          <wp:effectExtent l="0" t="0" r="190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1026"/>
    <w:multiLevelType w:val="hybridMultilevel"/>
    <w:tmpl w:val="53DC80E2"/>
    <w:lvl w:ilvl="0" w:tplc="657E2F42">
      <w:start w:val="1"/>
      <w:numFmt w:val="decimal"/>
      <w:lvlText w:val="(%1)"/>
      <w:lvlJc w:val="left"/>
      <w:pPr>
        <w:ind w:left="473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193" w:hanging="360"/>
      </w:pPr>
    </w:lvl>
    <w:lvl w:ilvl="2" w:tplc="140A001B" w:tentative="1">
      <w:start w:val="1"/>
      <w:numFmt w:val="lowerRoman"/>
      <w:lvlText w:val="%3."/>
      <w:lvlJc w:val="right"/>
      <w:pPr>
        <w:ind w:left="1913" w:hanging="180"/>
      </w:pPr>
    </w:lvl>
    <w:lvl w:ilvl="3" w:tplc="140A000F" w:tentative="1">
      <w:start w:val="1"/>
      <w:numFmt w:val="decimal"/>
      <w:lvlText w:val="%4."/>
      <w:lvlJc w:val="left"/>
      <w:pPr>
        <w:ind w:left="2633" w:hanging="360"/>
      </w:pPr>
    </w:lvl>
    <w:lvl w:ilvl="4" w:tplc="140A0019" w:tentative="1">
      <w:start w:val="1"/>
      <w:numFmt w:val="lowerLetter"/>
      <w:lvlText w:val="%5."/>
      <w:lvlJc w:val="left"/>
      <w:pPr>
        <w:ind w:left="3353" w:hanging="360"/>
      </w:pPr>
    </w:lvl>
    <w:lvl w:ilvl="5" w:tplc="140A001B" w:tentative="1">
      <w:start w:val="1"/>
      <w:numFmt w:val="lowerRoman"/>
      <w:lvlText w:val="%6."/>
      <w:lvlJc w:val="right"/>
      <w:pPr>
        <w:ind w:left="4073" w:hanging="180"/>
      </w:pPr>
    </w:lvl>
    <w:lvl w:ilvl="6" w:tplc="140A000F" w:tentative="1">
      <w:start w:val="1"/>
      <w:numFmt w:val="decimal"/>
      <w:lvlText w:val="%7."/>
      <w:lvlJc w:val="left"/>
      <w:pPr>
        <w:ind w:left="4793" w:hanging="360"/>
      </w:pPr>
    </w:lvl>
    <w:lvl w:ilvl="7" w:tplc="140A0019" w:tentative="1">
      <w:start w:val="1"/>
      <w:numFmt w:val="lowerLetter"/>
      <w:lvlText w:val="%8."/>
      <w:lvlJc w:val="left"/>
      <w:pPr>
        <w:ind w:left="5513" w:hanging="360"/>
      </w:pPr>
    </w:lvl>
    <w:lvl w:ilvl="8" w:tplc="1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8BC4A9C"/>
    <w:multiLevelType w:val="hybridMultilevel"/>
    <w:tmpl w:val="089A47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625B"/>
    <w:multiLevelType w:val="hybridMultilevel"/>
    <w:tmpl w:val="0228248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C05"/>
    <w:multiLevelType w:val="hybridMultilevel"/>
    <w:tmpl w:val="A718E806"/>
    <w:lvl w:ilvl="0" w:tplc="140A000F">
      <w:start w:val="1"/>
      <w:numFmt w:val="decimal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F13F7D"/>
    <w:multiLevelType w:val="hybridMultilevel"/>
    <w:tmpl w:val="DDFC9DF0"/>
    <w:lvl w:ilvl="0" w:tplc="9048AD88">
      <w:start w:val="1"/>
      <w:numFmt w:val="lowerLetter"/>
      <w:lvlText w:val="%1."/>
      <w:lvlJc w:val="left"/>
      <w:pPr>
        <w:ind w:left="1004" w:hanging="360"/>
      </w:pPr>
      <w:rPr>
        <w:rFonts w:ascii="Calibri" w:hAnsi="Calibri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667E1A"/>
    <w:multiLevelType w:val="hybridMultilevel"/>
    <w:tmpl w:val="F8A684EC"/>
    <w:lvl w:ilvl="0" w:tplc="8784507E">
      <w:start w:val="1"/>
      <w:numFmt w:val="lowerLetter"/>
      <w:lvlText w:val="%1."/>
      <w:lvlJc w:val="left"/>
      <w:pPr>
        <w:ind w:left="1004" w:hanging="360"/>
      </w:pPr>
      <w:rPr>
        <w:rFonts w:ascii="Calibri" w:hAnsi="Calibri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4A6C82"/>
    <w:multiLevelType w:val="hybridMultilevel"/>
    <w:tmpl w:val="00ECD7DE"/>
    <w:lvl w:ilvl="0" w:tplc="9048AD88">
      <w:start w:val="1"/>
      <w:numFmt w:val="lowerLetter"/>
      <w:lvlText w:val="%1."/>
      <w:lvlJc w:val="left"/>
      <w:pPr>
        <w:ind w:left="1004" w:hanging="360"/>
      </w:pPr>
      <w:rPr>
        <w:rFonts w:ascii="Calibri" w:hAnsi="Calibri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3FC4B5D"/>
    <w:multiLevelType w:val="hybridMultilevel"/>
    <w:tmpl w:val="2A98729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02BD9"/>
    <w:multiLevelType w:val="hybridMultilevel"/>
    <w:tmpl w:val="DF6A6BAE"/>
    <w:lvl w:ilvl="0" w:tplc="47EC773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66882"/>
    <w:multiLevelType w:val="hybridMultilevel"/>
    <w:tmpl w:val="BA1EC8F6"/>
    <w:lvl w:ilvl="0" w:tplc="2E4ED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67CA0"/>
    <w:multiLevelType w:val="hybridMultilevel"/>
    <w:tmpl w:val="9ED01C5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2A"/>
    <w:rsid w:val="00010394"/>
    <w:rsid w:val="00011793"/>
    <w:rsid w:val="00011FAB"/>
    <w:rsid w:val="00014F6A"/>
    <w:rsid w:val="000176A7"/>
    <w:rsid w:val="00021ADD"/>
    <w:rsid w:val="000255FC"/>
    <w:rsid w:val="000268FC"/>
    <w:rsid w:val="000357B8"/>
    <w:rsid w:val="000421CB"/>
    <w:rsid w:val="00044EC2"/>
    <w:rsid w:val="00051543"/>
    <w:rsid w:val="00051588"/>
    <w:rsid w:val="000526E7"/>
    <w:rsid w:val="00054A05"/>
    <w:rsid w:val="000561D5"/>
    <w:rsid w:val="0006465C"/>
    <w:rsid w:val="0006650E"/>
    <w:rsid w:val="000716A8"/>
    <w:rsid w:val="00072D14"/>
    <w:rsid w:val="000745FA"/>
    <w:rsid w:val="00090F0B"/>
    <w:rsid w:val="00092B79"/>
    <w:rsid w:val="00095A2B"/>
    <w:rsid w:val="0009709F"/>
    <w:rsid w:val="000A086E"/>
    <w:rsid w:val="000A2AF4"/>
    <w:rsid w:val="000A44E6"/>
    <w:rsid w:val="000A5218"/>
    <w:rsid w:val="000B12A3"/>
    <w:rsid w:val="000B345C"/>
    <w:rsid w:val="000C64A0"/>
    <w:rsid w:val="000D3511"/>
    <w:rsid w:val="000D62C1"/>
    <w:rsid w:val="000D6B8B"/>
    <w:rsid w:val="000D7C5F"/>
    <w:rsid w:val="000E0E03"/>
    <w:rsid w:val="000E1E93"/>
    <w:rsid w:val="000E3845"/>
    <w:rsid w:val="000E5574"/>
    <w:rsid w:val="000E5965"/>
    <w:rsid w:val="000E7E9F"/>
    <w:rsid w:val="000F20BC"/>
    <w:rsid w:val="000F3D8E"/>
    <w:rsid w:val="000F4DE7"/>
    <w:rsid w:val="000F4E55"/>
    <w:rsid w:val="00104967"/>
    <w:rsid w:val="00104D7C"/>
    <w:rsid w:val="00106DEA"/>
    <w:rsid w:val="00107ED5"/>
    <w:rsid w:val="001106D3"/>
    <w:rsid w:val="001139EF"/>
    <w:rsid w:val="001151E8"/>
    <w:rsid w:val="001245A8"/>
    <w:rsid w:val="00127EAB"/>
    <w:rsid w:val="00134A6E"/>
    <w:rsid w:val="00143694"/>
    <w:rsid w:val="00144252"/>
    <w:rsid w:val="00154117"/>
    <w:rsid w:val="00167069"/>
    <w:rsid w:val="00167501"/>
    <w:rsid w:val="00170FF6"/>
    <w:rsid w:val="00184676"/>
    <w:rsid w:val="00186FAD"/>
    <w:rsid w:val="00195489"/>
    <w:rsid w:val="001A0A14"/>
    <w:rsid w:val="001A24B8"/>
    <w:rsid w:val="001A32E8"/>
    <w:rsid w:val="001A4B30"/>
    <w:rsid w:val="001A58D9"/>
    <w:rsid w:val="001B67E6"/>
    <w:rsid w:val="001C0696"/>
    <w:rsid w:val="001C2EB6"/>
    <w:rsid w:val="001C3323"/>
    <w:rsid w:val="001D18BF"/>
    <w:rsid w:val="001D3394"/>
    <w:rsid w:val="001E3A47"/>
    <w:rsid w:val="001E5991"/>
    <w:rsid w:val="001F0162"/>
    <w:rsid w:val="001F2D1F"/>
    <w:rsid w:val="002013B6"/>
    <w:rsid w:val="002013F8"/>
    <w:rsid w:val="002073B7"/>
    <w:rsid w:val="002106F1"/>
    <w:rsid w:val="00211D8E"/>
    <w:rsid w:val="0021616E"/>
    <w:rsid w:val="0021750C"/>
    <w:rsid w:val="002202AA"/>
    <w:rsid w:val="00223B6D"/>
    <w:rsid w:val="00223C46"/>
    <w:rsid w:val="002257D1"/>
    <w:rsid w:val="0022620C"/>
    <w:rsid w:val="002279CE"/>
    <w:rsid w:val="00227B20"/>
    <w:rsid w:val="002329D4"/>
    <w:rsid w:val="00232DEC"/>
    <w:rsid w:val="00234CA2"/>
    <w:rsid w:val="002374A2"/>
    <w:rsid w:val="002420E0"/>
    <w:rsid w:val="00243FC2"/>
    <w:rsid w:val="0025015A"/>
    <w:rsid w:val="00250A6B"/>
    <w:rsid w:val="0025169E"/>
    <w:rsid w:val="002546BB"/>
    <w:rsid w:val="002615C1"/>
    <w:rsid w:val="00261F6E"/>
    <w:rsid w:val="00262F5C"/>
    <w:rsid w:val="002657D8"/>
    <w:rsid w:val="002659C0"/>
    <w:rsid w:val="002676C3"/>
    <w:rsid w:val="0026796D"/>
    <w:rsid w:val="00277C51"/>
    <w:rsid w:val="0029036A"/>
    <w:rsid w:val="00291B81"/>
    <w:rsid w:val="00291C7A"/>
    <w:rsid w:val="00294E02"/>
    <w:rsid w:val="00295482"/>
    <w:rsid w:val="00297254"/>
    <w:rsid w:val="002A3DD0"/>
    <w:rsid w:val="002A3FED"/>
    <w:rsid w:val="002A688B"/>
    <w:rsid w:val="002A7490"/>
    <w:rsid w:val="002B077F"/>
    <w:rsid w:val="002B0EF0"/>
    <w:rsid w:val="002B5933"/>
    <w:rsid w:val="002B7388"/>
    <w:rsid w:val="002B7FF4"/>
    <w:rsid w:val="002C4C8C"/>
    <w:rsid w:val="002D1414"/>
    <w:rsid w:val="002D36BE"/>
    <w:rsid w:val="002D43E6"/>
    <w:rsid w:val="002D4F6B"/>
    <w:rsid w:val="002D54D9"/>
    <w:rsid w:val="002D57D3"/>
    <w:rsid w:val="002E047C"/>
    <w:rsid w:val="002F0201"/>
    <w:rsid w:val="002F060B"/>
    <w:rsid w:val="002F0CD8"/>
    <w:rsid w:val="002F2D58"/>
    <w:rsid w:val="002F4FEC"/>
    <w:rsid w:val="002F6C27"/>
    <w:rsid w:val="00300C68"/>
    <w:rsid w:val="00303B4A"/>
    <w:rsid w:val="00305EDC"/>
    <w:rsid w:val="00310D45"/>
    <w:rsid w:val="00313415"/>
    <w:rsid w:val="00314898"/>
    <w:rsid w:val="003155C5"/>
    <w:rsid w:val="00317485"/>
    <w:rsid w:val="00322047"/>
    <w:rsid w:val="00322DA0"/>
    <w:rsid w:val="00324D8D"/>
    <w:rsid w:val="003262D5"/>
    <w:rsid w:val="00335880"/>
    <w:rsid w:val="00341F05"/>
    <w:rsid w:val="003446B4"/>
    <w:rsid w:val="00346AFE"/>
    <w:rsid w:val="0034704A"/>
    <w:rsid w:val="00347408"/>
    <w:rsid w:val="00347527"/>
    <w:rsid w:val="00347829"/>
    <w:rsid w:val="00352FA6"/>
    <w:rsid w:val="003544D1"/>
    <w:rsid w:val="003621B6"/>
    <w:rsid w:val="0037001D"/>
    <w:rsid w:val="00374B2F"/>
    <w:rsid w:val="00377CEE"/>
    <w:rsid w:val="00386FCF"/>
    <w:rsid w:val="00387C7D"/>
    <w:rsid w:val="00387CD6"/>
    <w:rsid w:val="00394169"/>
    <w:rsid w:val="0039466D"/>
    <w:rsid w:val="003A06F4"/>
    <w:rsid w:val="003A2626"/>
    <w:rsid w:val="003A39A6"/>
    <w:rsid w:val="003A4C7D"/>
    <w:rsid w:val="003B2B5A"/>
    <w:rsid w:val="003B667F"/>
    <w:rsid w:val="003B72F7"/>
    <w:rsid w:val="003C0050"/>
    <w:rsid w:val="003C00EC"/>
    <w:rsid w:val="003C2DA1"/>
    <w:rsid w:val="003C59E2"/>
    <w:rsid w:val="003D1448"/>
    <w:rsid w:val="003D35CA"/>
    <w:rsid w:val="003D79DD"/>
    <w:rsid w:val="003E1A62"/>
    <w:rsid w:val="003E57CA"/>
    <w:rsid w:val="003F1B43"/>
    <w:rsid w:val="003F4E2A"/>
    <w:rsid w:val="00407E2C"/>
    <w:rsid w:val="00413B95"/>
    <w:rsid w:val="00413F19"/>
    <w:rsid w:val="00415D23"/>
    <w:rsid w:val="00417762"/>
    <w:rsid w:val="00424609"/>
    <w:rsid w:val="00426E23"/>
    <w:rsid w:val="0042790D"/>
    <w:rsid w:val="00432191"/>
    <w:rsid w:val="00432490"/>
    <w:rsid w:val="00433CF8"/>
    <w:rsid w:val="00434A91"/>
    <w:rsid w:val="00443479"/>
    <w:rsid w:val="00444C15"/>
    <w:rsid w:val="00453E30"/>
    <w:rsid w:val="004565B1"/>
    <w:rsid w:val="00464393"/>
    <w:rsid w:val="004669EB"/>
    <w:rsid w:val="00471B90"/>
    <w:rsid w:val="00473AC7"/>
    <w:rsid w:val="00474360"/>
    <w:rsid w:val="00475F02"/>
    <w:rsid w:val="00477218"/>
    <w:rsid w:val="004804DD"/>
    <w:rsid w:val="004840ED"/>
    <w:rsid w:val="00484927"/>
    <w:rsid w:val="004906AF"/>
    <w:rsid w:val="00492771"/>
    <w:rsid w:val="0049428B"/>
    <w:rsid w:val="004961E6"/>
    <w:rsid w:val="004A2C15"/>
    <w:rsid w:val="004A3DA8"/>
    <w:rsid w:val="004A46DA"/>
    <w:rsid w:val="004B0959"/>
    <w:rsid w:val="004B1F5A"/>
    <w:rsid w:val="004B3D1D"/>
    <w:rsid w:val="004B5E91"/>
    <w:rsid w:val="004C3FA0"/>
    <w:rsid w:val="004C4B98"/>
    <w:rsid w:val="004E077A"/>
    <w:rsid w:val="004E290D"/>
    <w:rsid w:val="004E2F83"/>
    <w:rsid w:val="004E7E59"/>
    <w:rsid w:val="004F0DB8"/>
    <w:rsid w:val="004F11D6"/>
    <w:rsid w:val="004F21B2"/>
    <w:rsid w:val="004F7B4A"/>
    <w:rsid w:val="0050511E"/>
    <w:rsid w:val="00505B39"/>
    <w:rsid w:val="00507921"/>
    <w:rsid w:val="00510548"/>
    <w:rsid w:val="00510B84"/>
    <w:rsid w:val="00512F3E"/>
    <w:rsid w:val="005139CA"/>
    <w:rsid w:val="00514578"/>
    <w:rsid w:val="00514BA6"/>
    <w:rsid w:val="005179B7"/>
    <w:rsid w:val="005273C9"/>
    <w:rsid w:val="005355B4"/>
    <w:rsid w:val="00536842"/>
    <w:rsid w:val="005429B7"/>
    <w:rsid w:val="00543232"/>
    <w:rsid w:val="005473C6"/>
    <w:rsid w:val="00550ACB"/>
    <w:rsid w:val="0055291E"/>
    <w:rsid w:val="00557D07"/>
    <w:rsid w:val="005609E6"/>
    <w:rsid w:val="00560E1D"/>
    <w:rsid w:val="00565372"/>
    <w:rsid w:val="00566F0E"/>
    <w:rsid w:val="00576CE7"/>
    <w:rsid w:val="0058753F"/>
    <w:rsid w:val="0059081B"/>
    <w:rsid w:val="00593260"/>
    <w:rsid w:val="00594A6E"/>
    <w:rsid w:val="0059588E"/>
    <w:rsid w:val="005A1D30"/>
    <w:rsid w:val="005A22FE"/>
    <w:rsid w:val="005A4885"/>
    <w:rsid w:val="005A55A4"/>
    <w:rsid w:val="005A6B5B"/>
    <w:rsid w:val="005B0787"/>
    <w:rsid w:val="005B3400"/>
    <w:rsid w:val="005C18F6"/>
    <w:rsid w:val="005C3056"/>
    <w:rsid w:val="005C3382"/>
    <w:rsid w:val="005C75CF"/>
    <w:rsid w:val="005C76C8"/>
    <w:rsid w:val="005C7C80"/>
    <w:rsid w:val="005D2D7E"/>
    <w:rsid w:val="005D5420"/>
    <w:rsid w:val="005D70B5"/>
    <w:rsid w:val="005E4343"/>
    <w:rsid w:val="005E4867"/>
    <w:rsid w:val="005E4A8B"/>
    <w:rsid w:val="005E777B"/>
    <w:rsid w:val="005F2555"/>
    <w:rsid w:val="005F4B82"/>
    <w:rsid w:val="006035CD"/>
    <w:rsid w:val="00615BB6"/>
    <w:rsid w:val="00621251"/>
    <w:rsid w:val="00622DA4"/>
    <w:rsid w:val="00626145"/>
    <w:rsid w:val="00630614"/>
    <w:rsid w:val="00631A12"/>
    <w:rsid w:val="00632D1F"/>
    <w:rsid w:val="00634E5D"/>
    <w:rsid w:val="00635505"/>
    <w:rsid w:val="00637A60"/>
    <w:rsid w:val="00645313"/>
    <w:rsid w:val="006534FB"/>
    <w:rsid w:val="006549A0"/>
    <w:rsid w:val="00670C55"/>
    <w:rsid w:val="0067469B"/>
    <w:rsid w:val="006803D3"/>
    <w:rsid w:val="006819D5"/>
    <w:rsid w:val="00684F30"/>
    <w:rsid w:val="0069026D"/>
    <w:rsid w:val="00690F47"/>
    <w:rsid w:val="00694F29"/>
    <w:rsid w:val="006A093B"/>
    <w:rsid w:val="006A6B7D"/>
    <w:rsid w:val="006A798B"/>
    <w:rsid w:val="006B386A"/>
    <w:rsid w:val="006B645B"/>
    <w:rsid w:val="006B6689"/>
    <w:rsid w:val="006B71C7"/>
    <w:rsid w:val="006C3A7D"/>
    <w:rsid w:val="006C4A35"/>
    <w:rsid w:val="006C5791"/>
    <w:rsid w:val="006C6263"/>
    <w:rsid w:val="006D139E"/>
    <w:rsid w:val="006D3DB3"/>
    <w:rsid w:val="006D4A66"/>
    <w:rsid w:val="006D5B49"/>
    <w:rsid w:val="006E1D29"/>
    <w:rsid w:val="006F5308"/>
    <w:rsid w:val="00706FE3"/>
    <w:rsid w:val="00712247"/>
    <w:rsid w:val="007129F4"/>
    <w:rsid w:val="0071422C"/>
    <w:rsid w:val="007146D6"/>
    <w:rsid w:val="00721803"/>
    <w:rsid w:val="00722522"/>
    <w:rsid w:val="00722CF1"/>
    <w:rsid w:val="007235BF"/>
    <w:rsid w:val="00727A8A"/>
    <w:rsid w:val="00730482"/>
    <w:rsid w:val="00732983"/>
    <w:rsid w:val="00732D8B"/>
    <w:rsid w:val="007334AC"/>
    <w:rsid w:val="00733DA3"/>
    <w:rsid w:val="00735530"/>
    <w:rsid w:val="00740C61"/>
    <w:rsid w:val="00741AF7"/>
    <w:rsid w:val="00741FE7"/>
    <w:rsid w:val="007456AA"/>
    <w:rsid w:val="0075367D"/>
    <w:rsid w:val="00756E05"/>
    <w:rsid w:val="00761714"/>
    <w:rsid w:val="00763296"/>
    <w:rsid w:val="0076656D"/>
    <w:rsid w:val="007759C9"/>
    <w:rsid w:val="00775F74"/>
    <w:rsid w:val="00777D18"/>
    <w:rsid w:val="00781400"/>
    <w:rsid w:val="00781AED"/>
    <w:rsid w:val="0078346D"/>
    <w:rsid w:val="0079478E"/>
    <w:rsid w:val="00796EE2"/>
    <w:rsid w:val="007976B7"/>
    <w:rsid w:val="00797DCB"/>
    <w:rsid w:val="007A1B8F"/>
    <w:rsid w:val="007B00CA"/>
    <w:rsid w:val="007B1ADA"/>
    <w:rsid w:val="007B253B"/>
    <w:rsid w:val="007B6B1D"/>
    <w:rsid w:val="007B7396"/>
    <w:rsid w:val="007C2C62"/>
    <w:rsid w:val="007D0107"/>
    <w:rsid w:val="007D1D75"/>
    <w:rsid w:val="007D3242"/>
    <w:rsid w:val="007D711F"/>
    <w:rsid w:val="007D7DDC"/>
    <w:rsid w:val="007E3B2A"/>
    <w:rsid w:val="007E4E1B"/>
    <w:rsid w:val="007E7168"/>
    <w:rsid w:val="007F4AB9"/>
    <w:rsid w:val="007F4DDC"/>
    <w:rsid w:val="007F5DBB"/>
    <w:rsid w:val="007F7A2F"/>
    <w:rsid w:val="008018E7"/>
    <w:rsid w:val="008027F3"/>
    <w:rsid w:val="00804A51"/>
    <w:rsid w:val="008051AB"/>
    <w:rsid w:val="00805D72"/>
    <w:rsid w:val="00807A9F"/>
    <w:rsid w:val="00807FCA"/>
    <w:rsid w:val="008121DF"/>
    <w:rsid w:val="0081578B"/>
    <w:rsid w:val="00815E6C"/>
    <w:rsid w:val="008216C0"/>
    <w:rsid w:val="00826EC1"/>
    <w:rsid w:val="008308B4"/>
    <w:rsid w:val="00832382"/>
    <w:rsid w:val="00833E51"/>
    <w:rsid w:val="008345AA"/>
    <w:rsid w:val="008370A2"/>
    <w:rsid w:val="00841E75"/>
    <w:rsid w:val="0084277B"/>
    <w:rsid w:val="00845E1F"/>
    <w:rsid w:val="00846873"/>
    <w:rsid w:val="00851706"/>
    <w:rsid w:val="00851CCD"/>
    <w:rsid w:val="00856371"/>
    <w:rsid w:val="008650B3"/>
    <w:rsid w:val="008656E7"/>
    <w:rsid w:val="00867E45"/>
    <w:rsid w:val="00871187"/>
    <w:rsid w:val="00881606"/>
    <w:rsid w:val="008839F6"/>
    <w:rsid w:val="00883A30"/>
    <w:rsid w:val="00884EA9"/>
    <w:rsid w:val="00891EBC"/>
    <w:rsid w:val="008A098B"/>
    <w:rsid w:val="008A31B8"/>
    <w:rsid w:val="008B3D0E"/>
    <w:rsid w:val="008B6522"/>
    <w:rsid w:val="008C0C10"/>
    <w:rsid w:val="008C14DE"/>
    <w:rsid w:val="008C413D"/>
    <w:rsid w:val="008C5AAA"/>
    <w:rsid w:val="008C679F"/>
    <w:rsid w:val="008D0A44"/>
    <w:rsid w:val="008D0A9A"/>
    <w:rsid w:val="008D0D2B"/>
    <w:rsid w:val="008D1D4A"/>
    <w:rsid w:val="008E076A"/>
    <w:rsid w:val="008E4BF8"/>
    <w:rsid w:val="008E501D"/>
    <w:rsid w:val="008E604B"/>
    <w:rsid w:val="008E66C0"/>
    <w:rsid w:val="008F1FB6"/>
    <w:rsid w:val="008F2EAA"/>
    <w:rsid w:val="008F4655"/>
    <w:rsid w:val="008F5207"/>
    <w:rsid w:val="008F5A3F"/>
    <w:rsid w:val="008F651B"/>
    <w:rsid w:val="00902837"/>
    <w:rsid w:val="00917D33"/>
    <w:rsid w:val="009332DB"/>
    <w:rsid w:val="00935212"/>
    <w:rsid w:val="00937154"/>
    <w:rsid w:val="00937681"/>
    <w:rsid w:val="00944DDE"/>
    <w:rsid w:val="00945B35"/>
    <w:rsid w:val="0094632E"/>
    <w:rsid w:val="00953567"/>
    <w:rsid w:val="009536A5"/>
    <w:rsid w:val="00964820"/>
    <w:rsid w:val="00967B19"/>
    <w:rsid w:val="0098460E"/>
    <w:rsid w:val="009913CA"/>
    <w:rsid w:val="00991561"/>
    <w:rsid w:val="00991CF5"/>
    <w:rsid w:val="009958F2"/>
    <w:rsid w:val="0099731D"/>
    <w:rsid w:val="009A41B5"/>
    <w:rsid w:val="009A76AF"/>
    <w:rsid w:val="009B3129"/>
    <w:rsid w:val="009B3671"/>
    <w:rsid w:val="009B475A"/>
    <w:rsid w:val="009B61AF"/>
    <w:rsid w:val="009B73C9"/>
    <w:rsid w:val="009C633E"/>
    <w:rsid w:val="009C7F86"/>
    <w:rsid w:val="009D7193"/>
    <w:rsid w:val="009E370D"/>
    <w:rsid w:val="009E50B9"/>
    <w:rsid w:val="009E6AFB"/>
    <w:rsid w:val="009E6DB2"/>
    <w:rsid w:val="009E7767"/>
    <w:rsid w:val="009F1D3E"/>
    <w:rsid w:val="009F7C79"/>
    <w:rsid w:val="00A0264D"/>
    <w:rsid w:val="00A02FFD"/>
    <w:rsid w:val="00A0529C"/>
    <w:rsid w:val="00A06F33"/>
    <w:rsid w:val="00A153A4"/>
    <w:rsid w:val="00A20581"/>
    <w:rsid w:val="00A241E6"/>
    <w:rsid w:val="00A31557"/>
    <w:rsid w:val="00A32361"/>
    <w:rsid w:val="00A4657D"/>
    <w:rsid w:val="00A47569"/>
    <w:rsid w:val="00A4778B"/>
    <w:rsid w:val="00A508F2"/>
    <w:rsid w:val="00A56D47"/>
    <w:rsid w:val="00A60740"/>
    <w:rsid w:val="00A60911"/>
    <w:rsid w:val="00A60B86"/>
    <w:rsid w:val="00A6549C"/>
    <w:rsid w:val="00A7032A"/>
    <w:rsid w:val="00A75004"/>
    <w:rsid w:val="00A84517"/>
    <w:rsid w:val="00A87304"/>
    <w:rsid w:val="00A96EC1"/>
    <w:rsid w:val="00A97ABD"/>
    <w:rsid w:val="00AA2AAE"/>
    <w:rsid w:val="00AA2D65"/>
    <w:rsid w:val="00AB0A0D"/>
    <w:rsid w:val="00AB116C"/>
    <w:rsid w:val="00AB4A01"/>
    <w:rsid w:val="00AB4F4A"/>
    <w:rsid w:val="00AC2AF0"/>
    <w:rsid w:val="00AC395E"/>
    <w:rsid w:val="00AD10D3"/>
    <w:rsid w:val="00AD5668"/>
    <w:rsid w:val="00AD5C19"/>
    <w:rsid w:val="00AE2ED6"/>
    <w:rsid w:val="00AE2FE8"/>
    <w:rsid w:val="00AE435D"/>
    <w:rsid w:val="00AE6325"/>
    <w:rsid w:val="00AF3B9B"/>
    <w:rsid w:val="00AF3FA6"/>
    <w:rsid w:val="00AF7538"/>
    <w:rsid w:val="00AF7580"/>
    <w:rsid w:val="00AF7D88"/>
    <w:rsid w:val="00B13756"/>
    <w:rsid w:val="00B20060"/>
    <w:rsid w:val="00B2427F"/>
    <w:rsid w:val="00B34134"/>
    <w:rsid w:val="00B41802"/>
    <w:rsid w:val="00B431B5"/>
    <w:rsid w:val="00B445BB"/>
    <w:rsid w:val="00B44B04"/>
    <w:rsid w:val="00B44F21"/>
    <w:rsid w:val="00B45CF7"/>
    <w:rsid w:val="00B47F63"/>
    <w:rsid w:val="00B517A6"/>
    <w:rsid w:val="00B55C81"/>
    <w:rsid w:val="00B64FC7"/>
    <w:rsid w:val="00B65E0E"/>
    <w:rsid w:val="00B7087F"/>
    <w:rsid w:val="00B735E2"/>
    <w:rsid w:val="00B7533B"/>
    <w:rsid w:val="00B77A89"/>
    <w:rsid w:val="00B81C61"/>
    <w:rsid w:val="00B82223"/>
    <w:rsid w:val="00B8232D"/>
    <w:rsid w:val="00B82B58"/>
    <w:rsid w:val="00B85500"/>
    <w:rsid w:val="00B861E7"/>
    <w:rsid w:val="00B87026"/>
    <w:rsid w:val="00B939A2"/>
    <w:rsid w:val="00B93B21"/>
    <w:rsid w:val="00B965AF"/>
    <w:rsid w:val="00BA1DDD"/>
    <w:rsid w:val="00BA456D"/>
    <w:rsid w:val="00BB0BE3"/>
    <w:rsid w:val="00BB50A9"/>
    <w:rsid w:val="00BB799B"/>
    <w:rsid w:val="00BC0374"/>
    <w:rsid w:val="00BD0DFD"/>
    <w:rsid w:val="00BD2FAF"/>
    <w:rsid w:val="00BD5F5A"/>
    <w:rsid w:val="00BD7E08"/>
    <w:rsid w:val="00BE078A"/>
    <w:rsid w:val="00BE64C6"/>
    <w:rsid w:val="00BF4520"/>
    <w:rsid w:val="00BF7239"/>
    <w:rsid w:val="00BF7749"/>
    <w:rsid w:val="00BF7F47"/>
    <w:rsid w:val="00C015B1"/>
    <w:rsid w:val="00C01A50"/>
    <w:rsid w:val="00C06DE1"/>
    <w:rsid w:val="00C15724"/>
    <w:rsid w:val="00C159C5"/>
    <w:rsid w:val="00C2189E"/>
    <w:rsid w:val="00C34FB4"/>
    <w:rsid w:val="00C36F32"/>
    <w:rsid w:val="00C40934"/>
    <w:rsid w:val="00C41ED3"/>
    <w:rsid w:val="00C42324"/>
    <w:rsid w:val="00C479FB"/>
    <w:rsid w:val="00C512DF"/>
    <w:rsid w:val="00C5152F"/>
    <w:rsid w:val="00C534F3"/>
    <w:rsid w:val="00C5394C"/>
    <w:rsid w:val="00C56CCD"/>
    <w:rsid w:val="00C57129"/>
    <w:rsid w:val="00C6082C"/>
    <w:rsid w:val="00C66BF4"/>
    <w:rsid w:val="00C71049"/>
    <w:rsid w:val="00C71F22"/>
    <w:rsid w:val="00C71FF8"/>
    <w:rsid w:val="00C72621"/>
    <w:rsid w:val="00C75777"/>
    <w:rsid w:val="00C76D29"/>
    <w:rsid w:val="00C825E6"/>
    <w:rsid w:val="00C83AAF"/>
    <w:rsid w:val="00C90A71"/>
    <w:rsid w:val="00C923A3"/>
    <w:rsid w:val="00C93DCD"/>
    <w:rsid w:val="00C963D1"/>
    <w:rsid w:val="00C97AEA"/>
    <w:rsid w:val="00CA08E5"/>
    <w:rsid w:val="00CA16C2"/>
    <w:rsid w:val="00CA7E69"/>
    <w:rsid w:val="00CB0D03"/>
    <w:rsid w:val="00CB5952"/>
    <w:rsid w:val="00CC0335"/>
    <w:rsid w:val="00CC24BF"/>
    <w:rsid w:val="00CC4022"/>
    <w:rsid w:val="00CC6C9B"/>
    <w:rsid w:val="00CD314A"/>
    <w:rsid w:val="00CD3571"/>
    <w:rsid w:val="00CD5928"/>
    <w:rsid w:val="00CE1640"/>
    <w:rsid w:val="00CF0BFE"/>
    <w:rsid w:val="00CF2FA2"/>
    <w:rsid w:val="00CF563B"/>
    <w:rsid w:val="00D00499"/>
    <w:rsid w:val="00D00D71"/>
    <w:rsid w:val="00D018D3"/>
    <w:rsid w:val="00D029E6"/>
    <w:rsid w:val="00D03EAA"/>
    <w:rsid w:val="00D05930"/>
    <w:rsid w:val="00D0661A"/>
    <w:rsid w:val="00D07520"/>
    <w:rsid w:val="00D109B7"/>
    <w:rsid w:val="00D17CEA"/>
    <w:rsid w:val="00D17D0F"/>
    <w:rsid w:val="00D2716E"/>
    <w:rsid w:val="00D274A5"/>
    <w:rsid w:val="00D33B0B"/>
    <w:rsid w:val="00D350B3"/>
    <w:rsid w:val="00D363C7"/>
    <w:rsid w:val="00D41FFC"/>
    <w:rsid w:val="00D42282"/>
    <w:rsid w:val="00D440C1"/>
    <w:rsid w:val="00D476FF"/>
    <w:rsid w:val="00D61945"/>
    <w:rsid w:val="00D67DFC"/>
    <w:rsid w:val="00D744B5"/>
    <w:rsid w:val="00D744D1"/>
    <w:rsid w:val="00D766AB"/>
    <w:rsid w:val="00D80206"/>
    <w:rsid w:val="00D82C36"/>
    <w:rsid w:val="00D83895"/>
    <w:rsid w:val="00D8660F"/>
    <w:rsid w:val="00D86CC1"/>
    <w:rsid w:val="00D870C7"/>
    <w:rsid w:val="00DA4C3F"/>
    <w:rsid w:val="00DA5F5C"/>
    <w:rsid w:val="00DA71D1"/>
    <w:rsid w:val="00DC38D9"/>
    <w:rsid w:val="00DC3EF4"/>
    <w:rsid w:val="00DC4246"/>
    <w:rsid w:val="00DC50E1"/>
    <w:rsid w:val="00DD0439"/>
    <w:rsid w:val="00DD47A3"/>
    <w:rsid w:val="00DD676F"/>
    <w:rsid w:val="00DD729A"/>
    <w:rsid w:val="00DE03B5"/>
    <w:rsid w:val="00DE0F5E"/>
    <w:rsid w:val="00DE3CF5"/>
    <w:rsid w:val="00DE4103"/>
    <w:rsid w:val="00DF3D01"/>
    <w:rsid w:val="00DF47FC"/>
    <w:rsid w:val="00DF56B4"/>
    <w:rsid w:val="00DF7A09"/>
    <w:rsid w:val="00E3273F"/>
    <w:rsid w:val="00E42EFF"/>
    <w:rsid w:val="00E47BF2"/>
    <w:rsid w:val="00E665A9"/>
    <w:rsid w:val="00E73CDE"/>
    <w:rsid w:val="00E744D7"/>
    <w:rsid w:val="00E746D5"/>
    <w:rsid w:val="00E74FA5"/>
    <w:rsid w:val="00E775BF"/>
    <w:rsid w:val="00E84031"/>
    <w:rsid w:val="00E85D10"/>
    <w:rsid w:val="00E8652E"/>
    <w:rsid w:val="00E87A89"/>
    <w:rsid w:val="00E908B4"/>
    <w:rsid w:val="00E95D96"/>
    <w:rsid w:val="00E97385"/>
    <w:rsid w:val="00EA0753"/>
    <w:rsid w:val="00EA1A49"/>
    <w:rsid w:val="00EA2513"/>
    <w:rsid w:val="00EA2BCD"/>
    <w:rsid w:val="00EA6388"/>
    <w:rsid w:val="00EB5F7D"/>
    <w:rsid w:val="00EC1B04"/>
    <w:rsid w:val="00EC48F8"/>
    <w:rsid w:val="00EC5B45"/>
    <w:rsid w:val="00EC5CB7"/>
    <w:rsid w:val="00EC68AE"/>
    <w:rsid w:val="00EC6DFD"/>
    <w:rsid w:val="00EC7D69"/>
    <w:rsid w:val="00ED0B4D"/>
    <w:rsid w:val="00ED1115"/>
    <w:rsid w:val="00ED1C26"/>
    <w:rsid w:val="00EE026C"/>
    <w:rsid w:val="00EE2903"/>
    <w:rsid w:val="00EE58B8"/>
    <w:rsid w:val="00EE6294"/>
    <w:rsid w:val="00EE66FD"/>
    <w:rsid w:val="00EF04B3"/>
    <w:rsid w:val="00EF2A3A"/>
    <w:rsid w:val="00EF4318"/>
    <w:rsid w:val="00F14AC2"/>
    <w:rsid w:val="00F22021"/>
    <w:rsid w:val="00F23366"/>
    <w:rsid w:val="00F253AD"/>
    <w:rsid w:val="00F269AA"/>
    <w:rsid w:val="00F31AD1"/>
    <w:rsid w:val="00F35EF8"/>
    <w:rsid w:val="00F41723"/>
    <w:rsid w:val="00F432E8"/>
    <w:rsid w:val="00F44087"/>
    <w:rsid w:val="00F44B86"/>
    <w:rsid w:val="00F45755"/>
    <w:rsid w:val="00F47264"/>
    <w:rsid w:val="00F475CA"/>
    <w:rsid w:val="00F47ECB"/>
    <w:rsid w:val="00F510AA"/>
    <w:rsid w:val="00F51952"/>
    <w:rsid w:val="00F560CF"/>
    <w:rsid w:val="00F57041"/>
    <w:rsid w:val="00F64C62"/>
    <w:rsid w:val="00F64FFF"/>
    <w:rsid w:val="00F67493"/>
    <w:rsid w:val="00F765DC"/>
    <w:rsid w:val="00F7760F"/>
    <w:rsid w:val="00F80B47"/>
    <w:rsid w:val="00F80FC5"/>
    <w:rsid w:val="00F84E3F"/>
    <w:rsid w:val="00F85E84"/>
    <w:rsid w:val="00F8606A"/>
    <w:rsid w:val="00FA2F67"/>
    <w:rsid w:val="00FA39E8"/>
    <w:rsid w:val="00FA6791"/>
    <w:rsid w:val="00FB448C"/>
    <w:rsid w:val="00FC571F"/>
    <w:rsid w:val="00FC5F37"/>
    <w:rsid w:val="00FC780D"/>
    <w:rsid w:val="00FD171E"/>
    <w:rsid w:val="00FD294F"/>
    <w:rsid w:val="00FD40BE"/>
    <w:rsid w:val="00FD5807"/>
    <w:rsid w:val="00FD5D3B"/>
    <w:rsid w:val="00FD791C"/>
    <w:rsid w:val="00FE1E0B"/>
    <w:rsid w:val="00FE2BCF"/>
    <w:rsid w:val="00FE3EF3"/>
    <w:rsid w:val="00FF2353"/>
    <w:rsid w:val="00FF5D85"/>
    <w:rsid w:val="00FF6B5D"/>
    <w:rsid w:val="00FF7142"/>
    <w:rsid w:val="00FF7833"/>
    <w:rsid w:val="1C47FAE7"/>
    <w:rsid w:val="7091C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9F4300"/>
  <w15:docId w15:val="{848853F4-FB07-49D8-BA43-D601FC4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D5"/>
    <w:pPr>
      <w:spacing w:after="0" w:line="360" w:lineRule="auto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link w:val="Ttulo5Car"/>
    <w:qFormat/>
    <w:rsid w:val="00A7032A"/>
    <w:pPr>
      <w:keepNext/>
      <w:widowControl w:val="0"/>
      <w:spacing w:line="240" w:lineRule="auto"/>
      <w:jc w:val="center"/>
      <w:outlineLvl w:val="4"/>
    </w:pPr>
    <w:rPr>
      <w:rFonts w:eastAsia="Times New Roman" w:cs="Times New Roman"/>
      <w:b/>
      <w:i/>
      <w:snapToGrid w:val="0"/>
      <w:sz w:val="22"/>
      <w:szCs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1FAB"/>
    <w:rPr>
      <w:color w:val="808080"/>
    </w:rPr>
  </w:style>
  <w:style w:type="paragraph" w:styleId="Encabezado">
    <w:name w:val="header"/>
    <w:basedOn w:val="Normal"/>
    <w:link w:val="EncabezadoCar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11FAB"/>
  </w:style>
  <w:style w:type="paragraph" w:styleId="Piedepgina">
    <w:name w:val="footer"/>
    <w:basedOn w:val="Normal"/>
    <w:link w:val="PiedepginaCar"/>
    <w:uiPriority w:val="99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FAB"/>
  </w:style>
  <w:style w:type="paragraph" w:customStyle="1" w:styleId="SupenEncabezado">
    <w:name w:val="Supen_Encabezado"/>
    <w:next w:val="Normal"/>
    <w:link w:val="SupenEncabezadoCar"/>
    <w:autoRedefine/>
    <w:qFormat/>
    <w:rsid w:val="009536A5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SupenEncabezadoCar">
    <w:name w:val="Supen_Encabezado Car"/>
    <w:basedOn w:val="Fuentedeprrafopredeter"/>
    <w:link w:val="SupenEncabezado"/>
    <w:rsid w:val="009536A5"/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AD10D3"/>
    <w:pPr>
      <w:spacing w:after="0" w:line="240" w:lineRule="auto"/>
    </w:pPr>
  </w:style>
  <w:style w:type="character" w:styleId="Hipervnculo">
    <w:name w:val="Hyperlink"/>
    <w:basedOn w:val="Fuentedeprrafopredeter"/>
    <w:rsid w:val="00DC38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92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921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68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rsid w:val="00A7032A"/>
    <w:rPr>
      <w:rFonts w:ascii="Times New Roman" w:eastAsia="Times New Roman" w:hAnsi="Times New Roman" w:cs="Times New Roman"/>
      <w:b/>
      <w:i/>
      <w:snapToGrid w:val="0"/>
      <w:szCs w:val="24"/>
      <w:lang w:val="es-CR"/>
    </w:rPr>
  </w:style>
  <w:style w:type="paragraph" w:styleId="Textoindependiente">
    <w:name w:val="Body Text"/>
    <w:basedOn w:val="Normal"/>
    <w:link w:val="TextoindependienteCar"/>
    <w:rsid w:val="00A7032A"/>
    <w:pPr>
      <w:spacing w:line="240" w:lineRule="auto"/>
      <w:jc w:val="center"/>
    </w:pPr>
    <w:rPr>
      <w:rFonts w:eastAsia="Times New Roman" w:cs="Times New Roman"/>
      <w:b/>
      <w:bCs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7032A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A7032A"/>
    <w:pPr>
      <w:spacing w:line="240" w:lineRule="auto"/>
      <w:jc w:val="both"/>
    </w:pPr>
    <w:rPr>
      <w:rFonts w:eastAsia="Times New Roman" w:cs="Times New Roman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7032A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7032A"/>
    <w:pPr>
      <w:spacing w:after="120" w:line="240" w:lineRule="auto"/>
      <w:ind w:left="284"/>
      <w:jc w:val="both"/>
    </w:pPr>
    <w:rPr>
      <w:rFonts w:eastAsia="Times New Roman" w:cs="Times New Roman"/>
      <w:b/>
      <w:bCs/>
      <w:iCs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7032A"/>
    <w:rPr>
      <w:rFonts w:ascii="Times New Roman" w:eastAsia="Times New Roman" w:hAnsi="Times New Roman" w:cs="Times New Roman"/>
      <w:b/>
      <w:bCs/>
      <w:i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A7032A"/>
    <w:pPr>
      <w:spacing w:before="240" w:line="240" w:lineRule="auto"/>
      <w:jc w:val="both"/>
    </w:pPr>
    <w:rPr>
      <w:rFonts w:eastAsia="Times New Roman" w:cs="Times New Roman"/>
      <w:bCs/>
      <w:color w:val="FF0000"/>
      <w:szCs w:val="24"/>
      <w:lang w:val="es-CR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7032A"/>
    <w:rPr>
      <w:rFonts w:ascii="Times New Roman" w:eastAsia="Times New Roman" w:hAnsi="Times New Roman" w:cs="Times New Roman"/>
      <w:bCs/>
      <w:color w:val="FF0000"/>
      <w:sz w:val="24"/>
      <w:szCs w:val="24"/>
      <w:lang w:val="es-CR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7032A"/>
    <w:pPr>
      <w:spacing w:line="240" w:lineRule="auto"/>
      <w:ind w:left="720"/>
      <w:contextualSpacing/>
    </w:pPr>
    <w:rPr>
      <w:rFonts w:eastAsia="Times New Roman" w:cs="Times New Roman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A7032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08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8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08B4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8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8B4"/>
    <w:rPr>
      <w:rFonts w:ascii="Times New Roman" w:hAnsi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867E45"/>
    <w:pPr>
      <w:spacing w:after="0" w:line="240" w:lineRule="auto"/>
    </w:pPr>
    <w:rPr>
      <w:rFonts w:ascii="Times New Roman" w:hAnsi="Times New Roman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50AC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4E5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0F47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val="es-CR" w:eastAsia="es-CR"/>
    </w:rPr>
  </w:style>
  <w:style w:type="character" w:styleId="nfasis">
    <w:name w:val="Emphasis"/>
    <w:basedOn w:val="Fuentedeprrafopredeter"/>
    <w:uiPriority w:val="20"/>
    <w:qFormat/>
    <w:rsid w:val="00690F47"/>
    <w:rPr>
      <w:i/>
      <w:iCs/>
    </w:rPr>
  </w:style>
  <w:style w:type="character" w:customStyle="1" w:styleId="normaltextrun1">
    <w:name w:val="normaltextrun1"/>
    <w:basedOn w:val="Fuentedeprrafopredeter"/>
    <w:rsid w:val="005C76C8"/>
  </w:style>
  <w:style w:type="paragraph" w:customStyle="1" w:styleId="Default">
    <w:name w:val="Default"/>
    <w:rsid w:val="002013F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C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798B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798B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7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en@supen.fi.c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upen.fi.cr/documents/10179/310613/20210303+SP-A-236" TargetMode="External"/><Relationship Id="rId1" Type="http://schemas.openxmlformats.org/officeDocument/2006/relationships/hyperlink" Target="https://www.supen.fi.cr/documents/10179/310613/20200707+SP-A-22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riguezbg\AppData\Roaming\Microsoft\Templates\Machote%20SP-A%20Superintenden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303AD4F4C04B8EB334AB520C52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8A1C-6D9B-45E2-A9B5-E32E290782A5}"/>
      </w:docPartPr>
      <w:docPartBody>
        <w:p w:rsidR="00233EC9" w:rsidRDefault="00F66CF3">
          <w:pPr>
            <w:pStyle w:val="87303AD4F4C04B8EB334AB520C52BBFD"/>
          </w:pPr>
          <w:r>
            <w:rPr>
              <w:rStyle w:val="Textodelmarcadordeposicin"/>
            </w:rPr>
            <w:t>Ingrese aquí el SP-A-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F3"/>
    <w:rsid w:val="00010754"/>
    <w:rsid w:val="00015CD9"/>
    <w:rsid w:val="000B39A2"/>
    <w:rsid w:val="00173BA4"/>
    <w:rsid w:val="001A09DB"/>
    <w:rsid w:val="001B0E80"/>
    <w:rsid w:val="001E6274"/>
    <w:rsid w:val="00233EC9"/>
    <w:rsid w:val="003358B3"/>
    <w:rsid w:val="00454199"/>
    <w:rsid w:val="004D73A1"/>
    <w:rsid w:val="00582A8D"/>
    <w:rsid w:val="005D1437"/>
    <w:rsid w:val="00633681"/>
    <w:rsid w:val="0073575C"/>
    <w:rsid w:val="0078217B"/>
    <w:rsid w:val="008E2E50"/>
    <w:rsid w:val="008F50BA"/>
    <w:rsid w:val="00A2597E"/>
    <w:rsid w:val="00B46CCD"/>
    <w:rsid w:val="00B63394"/>
    <w:rsid w:val="00B83917"/>
    <w:rsid w:val="00C43ADD"/>
    <w:rsid w:val="00D02793"/>
    <w:rsid w:val="00E757BE"/>
    <w:rsid w:val="00EB402A"/>
    <w:rsid w:val="00EF5040"/>
    <w:rsid w:val="00F66CF3"/>
    <w:rsid w:val="00FA1869"/>
    <w:rsid w:val="00FA7861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87303AD4F4C04B8EB334AB520C52BBFD">
    <w:name w:val="87303AD4F4C04B8EB334AB520C52B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B0FBDDF72FDC4FB8B5CFB539DE5831" ma:contentTypeVersion="13" ma:contentTypeDescription="Crear nuevo documento." ma:contentTypeScope="" ma:versionID="470205ab50c59d8fe51f6d9cd21bb670">
  <xsd:schema xmlns:xsd="http://www.w3.org/2001/XMLSchema" xmlns:xs="http://www.w3.org/2001/XMLSchema" xmlns:p="http://schemas.microsoft.com/office/2006/metadata/properties" xmlns:ns3="d79d4044-f182-4a45-b26e-c1921764acf4" xmlns:ns4="86aac01b-1b50-45b4-a20d-fe760822b7dd" targetNamespace="http://schemas.microsoft.com/office/2006/metadata/properties" ma:root="true" ma:fieldsID="4c799ae4b36c13bed8e533ca12e5633b" ns3:_="" ns4:_="">
    <xsd:import namespace="d79d4044-f182-4a45-b26e-c1921764acf4"/>
    <xsd:import namespace="86aac01b-1b50-45b4-a20d-fe760822b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4044-f182-4a45-b26e-c1921764a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ac01b-1b50-45b4-a20d-fe760822b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8B26E-0C95-4818-98B5-0B0AEA92B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B450A-9E4C-438D-9630-CAC2F4D2A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d4044-f182-4a45-b26e-c1921764acf4"/>
    <ds:schemaRef ds:uri="86aac01b-1b50-45b4-a20d-fe760822b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35BC7-9092-4B78-9A01-0A982F5C54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5812D-E16C-41E0-BFE6-C1CD7FDCC4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Machote SP-A Superintendente</Template>
  <TotalTime>1</TotalTime>
  <Pages>9</Pages>
  <Words>2216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2019SPA211.docx</vt:lpstr>
    </vt:vector>
  </TitlesOfParts>
  <Company/>
  <LinksUpToDate>false</LinksUpToDate>
  <CharactersWithSpaces>14380</CharactersWithSpaces>
  <SharedDoc>false</SharedDoc>
  <HLinks>
    <vt:vector size="18" baseType="variant"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  <vt:variant>
        <vt:i4>5767214</vt:i4>
      </vt:variant>
      <vt:variant>
        <vt:i4>9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  <vt:variant>
        <vt:i4>5767214</vt:i4>
      </vt:variant>
      <vt:variant>
        <vt:i4>6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2019SPA211.docx</dc:title>
  <dc:subject/>
  <dc:creator>José Francisco Solís Camacho</dc:creator>
  <cp:keywords/>
  <dc:description/>
  <cp:lastModifiedBy>RODRIGUEZ BOVIERI GIANFRANCO</cp:lastModifiedBy>
  <cp:revision>2</cp:revision>
  <cp:lastPrinted>2021-03-11T19:26:00Z</cp:lastPrinted>
  <dcterms:created xsi:type="dcterms:W3CDTF">2022-02-24T21:37:00Z</dcterms:created>
  <dcterms:modified xsi:type="dcterms:W3CDTF">2022-02-24T21:37:00Z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0x010100B3B0FBDDF72FDC4FB8B5CFB539DE5831</vt:lpwstr>
  </property>
</Properties>
</file>